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B5" w:rsidRPr="00C830C2" w:rsidRDefault="001577B5" w:rsidP="001577B5">
      <w:pPr>
        <w:jc w:val="center"/>
        <w:rPr>
          <w:rFonts w:ascii="Times New Roman" w:hAnsi="Times New Roman"/>
          <w:b/>
          <w:sz w:val="28"/>
          <w:szCs w:val="28"/>
        </w:rPr>
      </w:pPr>
      <w:r w:rsidRPr="00C830C2">
        <w:rPr>
          <w:rFonts w:ascii="Times New Roman" w:hAnsi="Times New Roman"/>
          <w:b/>
          <w:sz w:val="28"/>
          <w:szCs w:val="28"/>
        </w:rPr>
        <w:t>Chapter-V</w:t>
      </w:r>
    </w:p>
    <w:p w:rsidR="001577B5" w:rsidRPr="00C830C2" w:rsidRDefault="001577B5" w:rsidP="001577B5">
      <w:pPr>
        <w:jc w:val="center"/>
        <w:rPr>
          <w:rFonts w:ascii="Times New Roman" w:hAnsi="Times New Roman"/>
          <w:b/>
          <w:sz w:val="32"/>
          <w:szCs w:val="32"/>
          <w:u w:val="single"/>
        </w:rPr>
      </w:pPr>
      <w:r w:rsidRPr="00C830C2">
        <w:rPr>
          <w:rFonts w:ascii="Times New Roman" w:hAnsi="Times New Roman"/>
          <w:b/>
          <w:sz w:val="32"/>
          <w:szCs w:val="32"/>
          <w:u w:val="single"/>
        </w:rPr>
        <w:t>RESULT AND DISCUSSION</w:t>
      </w:r>
    </w:p>
    <w:p w:rsidR="001577B5" w:rsidRDefault="001577B5" w:rsidP="001577B5">
      <w:pPr>
        <w:jc w:val="both"/>
        <w:rPr>
          <w:rFonts w:ascii="Times New Roman" w:hAnsi="Times New Roman"/>
        </w:rPr>
      </w:pPr>
    </w:p>
    <w:p w:rsidR="001577B5" w:rsidRPr="0079253A" w:rsidRDefault="001577B5" w:rsidP="001577B5">
      <w:pPr>
        <w:jc w:val="both"/>
        <w:rPr>
          <w:rFonts w:ascii="Times New Roman" w:hAnsi="Times New Roman"/>
          <w:sz w:val="10"/>
          <w:szCs w:val="10"/>
        </w:rPr>
      </w:pPr>
    </w:p>
    <w:p w:rsidR="001577B5" w:rsidRDefault="001577B5" w:rsidP="001577B5">
      <w:pPr>
        <w:jc w:val="both"/>
        <w:rPr>
          <w:rFonts w:ascii="Times New Roman" w:hAnsi="Times New Roman"/>
        </w:rPr>
      </w:pPr>
      <w:r w:rsidRPr="00C830C2">
        <w:rPr>
          <w:rFonts w:ascii="Times New Roman" w:hAnsi="Times New Roman"/>
        </w:rPr>
        <w:t>Table 1: Comparison of mean values of different blood parameters between group 1 and 2 tested with t-test</w:t>
      </w:r>
    </w:p>
    <w:p w:rsidR="001577B5" w:rsidRPr="0079253A" w:rsidRDefault="001577B5" w:rsidP="001577B5">
      <w:pPr>
        <w:jc w:val="both"/>
        <w:rPr>
          <w:rFonts w:ascii="Times New Roman" w:hAnsi="Times New Roman"/>
          <w:sz w:val="10"/>
          <w:szCs w:val="10"/>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2180"/>
        <w:gridCol w:w="1336"/>
        <w:gridCol w:w="1234"/>
        <w:gridCol w:w="1336"/>
        <w:gridCol w:w="1748"/>
        <w:gridCol w:w="1336"/>
      </w:tblGrid>
      <w:tr w:rsidR="001577B5" w:rsidRPr="000D6D9D" w:rsidTr="00E71859">
        <w:trPr>
          <w:trHeight w:val="274"/>
        </w:trPr>
        <w:tc>
          <w:tcPr>
            <w:tcW w:w="2180" w:type="dxa"/>
            <w:shd w:val="clear" w:color="auto" w:fill="000000"/>
            <w:vAlign w:val="center"/>
          </w:tcPr>
          <w:p w:rsidR="001577B5" w:rsidRPr="000D6D9D" w:rsidRDefault="001577B5" w:rsidP="001577B5">
            <w:pPr>
              <w:spacing w:after="0"/>
              <w:jc w:val="both"/>
              <w:rPr>
                <w:rFonts w:ascii="Times New Roman" w:hAnsi="Times New Roman"/>
                <w:b/>
                <w:bCs/>
                <w:color w:val="FFFFFF"/>
              </w:rPr>
            </w:pPr>
            <w:r w:rsidRPr="000D6D9D">
              <w:rPr>
                <w:rFonts w:ascii="Times New Roman" w:hAnsi="Times New Roman"/>
                <w:b/>
                <w:bCs/>
                <w:color w:val="FFFFFF"/>
              </w:rPr>
              <w:t>Variable</w:t>
            </w:r>
          </w:p>
        </w:tc>
        <w:tc>
          <w:tcPr>
            <w:tcW w:w="1336" w:type="dxa"/>
            <w:shd w:val="clear" w:color="auto" w:fill="000000"/>
            <w:vAlign w:val="center"/>
          </w:tcPr>
          <w:p w:rsidR="001577B5" w:rsidRPr="000D6D9D" w:rsidRDefault="001577B5" w:rsidP="001577B5">
            <w:pPr>
              <w:spacing w:after="0"/>
              <w:jc w:val="both"/>
              <w:rPr>
                <w:rFonts w:ascii="Times New Roman" w:hAnsi="Times New Roman"/>
                <w:b/>
                <w:bCs/>
                <w:color w:val="FFFFFF"/>
              </w:rPr>
            </w:pPr>
            <w:r w:rsidRPr="000D6D9D">
              <w:rPr>
                <w:rFonts w:ascii="Times New Roman" w:hAnsi="Times New Roman"/>
                <w:b/>
                <w:bCs/>
                <w:color w:val="FFFFFF"/>
              </w:rPr>
              <w:t>Group</w:t>
            </w:r>
          </w:p>
        </w:tc>
        <w:tc>
          <w:tcPr>
            <w:tcW w:w="1234" w:type="dxa"/>
            <w:shd w:val="clear" w:color="auto" w:fill="000000"/>
            <w:vAlign w:val="center"/>
          </w:tcPr>
          <w:p w:rsidR="001577B5" w:rsidRPr="000D6D9D" w:rsidRDefault="001577B5" w:rsidP="001577B5">
            <w:pPr>
              <w:spacing w:after="0"/>
              <w:jc w:val="both"/>
              <w:rPr>
                <w:rFonts w:ascii="Times New Roman" w:hAnsi="Times New Roman"/>
                <w:b/>
                <w:bCs/>
                <w:color w:val="FFFFFF"/>
              </w:rPr>
            </w:pPr>
            <w:r w:rsidRPr="000D6D9D">
              <w:rPr>
                <w:rFonts w:ascii="Times New Roman" w:hAnsi="Times New Roman"/>
                <w:b/>
                <w:bCs/>
                <w:color w:val="FFFFFF"/>
              </w:rPr>
              <w:t>Mean</w:t>
            </w:r>
          </w:p>
        </w:tc>
        <w:tc>
          <w:tcPr>
            <w:tcW w:w="1336" w:type="dxa"/>
            <w:shd w:val="clear" w:color="auto" w:fill="000000"/>
            <w:vAlign w:val="center"/>
          </w:tcPr>
          <w:p w:rsidR="001577B5" w:rsidRPr="000D6D9D" w:rsidRDefault="001577B5" w:rsidP="001577B5">
            <w:pPr>
              <w:spacing w:after="0"/>
              <w:jc w:val="both"/>
              <w:rPr>
                <w:rFonts w:ascii="Times New Roman" w:hAnsi="Times New Roman"/>
                <w:b/>
                <w:bCs/>
                <w:color w:val="FFFFFF"/>
              </w:rPr>
            </w:pPr>
            <w:r w:rsidRPr="000D6D9D">
              <w:rPr>
                <w:rFonts w:ascii="Times New Roman" w:hAnsi="Times New Roman"/>
                <w:b/>
                <w:bCs/>
                <w:color w:val="FFFFFF"/>
              </w:rPr>
              <w:t>SE</w:t>
            </w:r>
          </w:p>
        </w:tc>
        <w:tc>
          <w:tcPr>
            <w:tcW w:w="1748" w:type="dxa"/>
            <w:shd w:val="clear" w:color="auto" w:fill="000000"/>
            <w:vAlign w:val="center"/>
          </w:tcPr>
          <w:p w:rsidR="001577B5" w:rsidRPr="000D6D9D" w:rsidRDefault="001577B5" w:rsidP="001577B5">
            <w:pPr>
              <w:spacing w:after="0"/>
              <w:jc w:val="both"/>
              <w:rPr>
                <w:rFonts w:ascii="Times New Roman" w:hAnsi="Times New Roman"/>
                <w:b/>
                <w:bCs/>
                <w:color w:val="FFFFFF"/>
              </w:rPr>
            </w:pPr>
            <w:r w:rsidRPr="000D6D9D">
              <w:rPr>
                <w:rFonts w:ascii="Times New Roman" w:hAnsi="Times New Roman"/>
                <w:b/>
                <w:bCs/>
                <w:color w:val="FFFFFF"/>
              </w:rPr>
              <w:t>95% CI</w:t>
            </w:r>
          </w:p>
        </w:tc>
        <w:tc>
          <w:tcPr>
            <w:tcW w:w="1336" w:type="dxa"/>
            <w:shd w:val="clear" w:color="auto" w:fill="000000"/>
            <w:vAlign w:val="center"/>
          </w:tcPr>
          <w:p w:rsidR="001577B5" w:rsidRPr="000D6D9D" w:rsidRDefault="001577B5" w:rsidP="001577B5">
            <w:pPr>
              <w:spacing w:after="0"/>
              <w:jc w:val="both"/>
              <w:rPr>
                <w:rFonts w:ascii="Times New Roman" w:hAnsi="Times New Roman"/>
                <w:b/>
                <w:bCs/>
                <w:color w:val="FFFFFF"/>
              </w:rPr>
            </w:pPr>
            <w:r w:rsidRPr="000D6D9D">
              <w:rPr>
                <w:rFonts w:ascii="Times New Roman" w:hAnsi="Times New Roman"/>
                <w:b/>
                <w:bCs/>
                <w:color w:val="FFFFFF"/>
              </w:rPr>
              <w:t>P-value</w:t>
            </w:r>
          </w:p>
        </w:tc>
      </w:tr>
      <w:tr w:rsidR="001577B5" w:rsidRPr="000D6D9D" w:rsidTr="00E71859">
        <w:trPr>
          <w:trHeight w:val="274"/>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Calcium</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8.59</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0.59</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7.25-9.92</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0.45</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7.88</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0.71</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6.28-9.47</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90"/>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Magnesium</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3.04</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0.18</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2.64-3.44</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0.04</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4.42</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0.63</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3.01-5.83</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90"/>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Phosphorus</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4.64</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0.34</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3.88-5.40</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0.65</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4.44</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0.41</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3.48-5.31</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74"/>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Total protein</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33</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3.37</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25.48-40.51</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0.58</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29.72</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4.75</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19.13-40.31</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74"/>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Glucose</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12.71</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3.42</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5.07-20.35</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0.73</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14.59</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4.23</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5.14-24.03</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74"/>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Cholesterol</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132.95</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23.99</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79.49-186.41</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0.90</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138.07</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33.42</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63.59-212.55</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74"/>
        </w:trPr>
        <w:tc>
          <w:tcPr>
            <w:tcW w:w="2180" w:type="dxa"/>
            <w:vMerge w:val="restart"/>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r w:rsidRPr="000D6D9D">
              <w:rPr>
                <w:rFonts w:ascii="Times New Roman" w:hAnsi="Times New Roman"/>
                <w:b/>
                <w:bCs/>
              </w:rPr>
              <w:t>Triglyceride</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w:t>
            </w: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27.27</w:t>
            </w: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5.93</w:t>
            </w: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14.04-40.50</w:t>
            </w:r>
          </w:p>
        </w:tc>
        <w:tc>
          <w:tcPr>
            <w:tcW w:w="1336" w:type="dxa"/>
            <w:vMerge w:val="restart"/>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0.73</w:t>
            </w:r>
          </w:p>
        </w:tc>
      </w:tr>
      <w:tr w:rsidR="001577B5" w:rsidRPr="000D6D9D" w:rsidTr="00E71859">
        <w:trPr>
          <w:trHeight w:val="146"/>
        </w:trPr>
        <w:tc>
          <w:tcPr>
            <w:tcW w:w="2180" w:type="dxa"/>
            <w:vMerge/>
            <w:vAlign w:val="center"/>
          </w:tcPr>
          <w:p w:rsidR="001577B5" w:rsidRPr="000D6D9D" w:rsidRDefault="001577B5" w:rsidP="001577B5">
            <w:pPr>
              <w:spacing w:after="0"/>
              <w:jc w:val="both"/>
              <w:rPr>
                <w:rFonts w:ascii="Times New Roman" w:hAnsi="Times New Roman"/>
                <w:b/>
                <w:bCs/>
              </w:rPr>
            </w:pP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w:t>
            </w:r>
          </w:p>
        </w:tc>
        <w:tc>
          <w:tcPr>
            <w:tcW w:w="1234"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29.53</w:t>
            </w:r>
          </w:p>
        </w:tc>
        <w:tc>
          <w:tcPr>
            <w:tcW w:w="1336"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2.93</w:t>
            </w:r>
          </w:p>
        </w:tc>
        <w:tc>
          <w:tcPr>
            <w:tcW w:w="1748" w:type="dxa"/>
            <w:vAlign w:val="center"/>
          </w:tcPr>
          <w:p w:rsidR="001577B5" w:rsidRPr="000D6D9D" w:rsidRDefault="001577B5" w:rsidP="001577B5">
            <w:pPr>
              <w:spacing w:after="0"/>
              <w:jc w:val="both"/>
              <w:rPr>
                <w:rFonts w:ascii="Times New Roman" w:hAnsi="Times New Roman"/>
              </w:rPr>
            </w:pPr>
            <w:r w:rsidRPr="000D6D9D">
              <w:rPr>
                <w:rFonts w:ascii="Times New Roman" w:hAnsi="Times New Roman"/>
              </w:rPr>
              <w:t>22.99-36.08</w:t>
            </w:r>
          </w:p>
        </w:tc>
        <w:tc>
          <w:tcPr>
            <w:tcW w:w="1336" w:type="dxa"/>
            <w:vMerge/>
            <w:vAlign w:val="center"/>
          </w:tcPr>
          <w:p w:rsidR="001577B5" w:rsidRPr="000D6D9D" w:rsidRDefault="001577B5" w:rsidP="001577B5">
            <w:pPr>
              <w:spacing w:after="0"/>
              <w:jc w:val="both"/>
              <w:rPr>
                <w:rFonts w:ascii="Times New Roman" w:hAnsi="Times New Roman"/>
              </w:rPr>
            </w:pPr>
          </w:p>
        </w:tc>
      </w:tr>
      <w:tr w:rsidR="001577B5" w:rsidRPr="000D6D9D" w:rsidTr="00E71859">
        <w:trPr>
          <w:trHeight w:val="274"/>
        </w:trPr>
        <w:tc>
          <w:tcPr>
            <w:tcW w:w="2180" w:type="dxa"/>
            <w:tcBorders>
              <w:top w:val="single" w:sz="8" w:space="0" w:color="000000"/>
              <w:left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b/>
                <w:bCs/>
              </w:rPr>
            </w:pP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p>
        </w:tc>
        <w:tc>
          <w:tcPr>
            <w:tcW w:w="1234"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p>
        </w:tc>
        <w:tc>
          <w:tcPr>
            <w:tcW w:w="1336"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p>
        </w:tc>
        <w:tc>
          <w:tcPr>
            <w:tcW w:w="1748" w:type="dxa"/>
            <w:tcBorders>
              <w:top w:val="single" w:sz="8" w:space="0" w:color="000000"/>
              <w:bottom w:val="single" w:sz="8" w:space="0" w:color="000000"/>
            </w:tcBorders>
            <w:vAlign w:val="center"/>
          </w:tcPr>
          <w:p w:rsidR="001577B5" w:rsidRPr="000D6D9D" w:rsidRDefault="001577B5" w:rsidP="001577B5">
            <w:pPr>
              <w:spacing w:after="0"/>
              <w:jc w:val="both"/>
              <w:rPr>
                <w:rFonts w:ascii="Times New Roman" w:hAnsi="Times New Roman"/>
              </w:rPr>
            </w:pPr>
          </w:p>
        </w:tc>
        <w:tc>
          <w:tcPr>
            <w:tcW w:w="1336" w:type="dxa"/>
            <w:tcBorders>
              <w:top w:val="single" w:sz="8" w:space="0" w:color="000000"/>
              <w:bottom w:val="single" w:sz="8" w:space="0" w:color="000000"/>
              <w:right w:val="single" w:sz="8" w:space="0" w:color="000000"/>
            </w:tcBorders>
            <w:vAlign w:val="center"/>
          </w:tcPr>
          <w:p w:rsidR="001577B5" w:rsidRPr="000D6D9D" w:rsidRDefault="001577B5" w:rsidP="001577B5">
            <w:pPr>
              <w:spacing w:after="0"/>
              <w:jc w:val="both"/>
              <w:rPr>
                <w:rFonts w:ascii="Times New Roman" w:hAnsi="Times New Roman"/>
              </w:rPr>
            </w:pPr>
          </w:p>
        </w:tc>
      </w:tr>
    </w:tbl>
    <w:p w:rsidR="001577B5" w:rsidRPr="00C830C2" w:rsidRDefault="001577B5" w:rsidP="001577B5">
      <w:pPr>
        <w:jc w:val="both"/>
        <w:rPr>
          <w:rFonts w:ascii="Times New Roman" w:hAnsi="Times New Roman"/>
        </w:rPr>
      </w:pPr>
    </w:p>
    <w:p w:rsidR="001577B5" w:rsidRPr="00C830C2" w:rsidRDefault="001577B5" w:rsidP="001577B5">
      <w:pPr>
        <w:autoSpaceDE w:val="0"/>
        <w:autoSpaceDN w:val="0"/>
        <w:adjustRightInd w:val="0"/>
        <w:spacing w:after="0" w:line="360" w:lineRule="auto"/>
        <w:jc w:val="both"/>
        <w:rPr>
          <w:rFonts w:ascii="Times New Roman" w:hAnsi="Times New Roman"/>
          <w:b/>
          <w:bCs/>
          <w:sz w:val="24"/>
          <w:szCs w:val="24"/>
        </w:rPr>
      </w:pP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5.1 </w:t>
      </w:r>
      <w:r w:rsidRPr="00C830C2">
        <w:rPr>
          <w:rFonts w:ascii="Times New Roman" w:hAnsi="Times New Roman"/>
          <w:b/>
          <w:bCs/>
          <w:sz w:val="28"/>
          <w:szCs w:val="28"/>
        </w:rPr>
        <w:t>Calcium</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 xml:space="preserve">There was </w:t>
      </w:r>
      <w:r>
        <w:rPr>
          <w:rFonts w:ascii="Times New Roman" w:hAnsi="Times New Roman"/>
          <w:sz w:val="24"/>
          <w:szCs w:val="24"/>
        </w:rPr>
        <w:t>observed a decreased level of calcium</w:t>
      </w:r>
      <w:r w:rsidRPr="00C830C2">
        <w:rPr>
          <w:rFonts w:ascii="Times New Roman" w:hAnsi="Times New Roman"/>
          <w:sz w:val="24"/>
          <w:szCs w:val="24"/>
        </w:rPr>
        <w:t xml:space="preserve"> </w:t>
      </w:r>
      <w:r>
        <w:rPr>
          <w:rFonts w:ascii="Times New Roman" w:hAnsi="Times New Roman"/>
          <w:sz w:val="24"/>
          <w:szCs w:val="24"/>
        </w:rPr>
        <w:t>in Group 2</w:t>
      </w:r>
      <w:r w:rsidRPr="00C830C2">
        <w:rPr>
          <w:rFonts w:ascii="Times New Roman" w:hAnsi="Times New Roman"/>
          <w:sz w:val="24"/>
          <w:szCs w:val="24"/>
        </w:rPr>
        <w:t xml:space="preserve"> (7.88±0.71 mg/dl) than Group </w:t>
      </w:r>
      <w:r>
        <w:rPr>
          <w:rFonts w:ascii="Times New Roman" w:hAnsi="Times New Roman"/>
          <w:sz w:val="24"/>
          <w:szCs w:val="24"/>
        </w:rPr>
        <w:t>1</w:t>
      </w:r>
      <w:r w:rsidRPr="00C830C2">
        <w:rPr>
          <w:rFonts w:ascii="Times New Roman" w:hAnsi="Times New Roman"/>
          <w:sz w:val="24"/>
          <w:szCs w:val="24"/>
        </w:rPr>
        <w:t xml:space="preserve"> (8.59±0.59 mg/dl). The </w:t>
      </w:r>
      <w:r>
        <w:rPr>
          <w:rFonts w:ascii="Times New Roman" w:hAnsi="Times New Roman"/>
          <w:sz w:val="24"/>
          <w:szCs w:val="24"/>
        </w:rPr>
        <w:t>decreased level of</w:t>
      </w:r>
      <w:r w:rsidRPr="00C830C2">
        <w:rPr>
          <w:rFonts w:ascii="Times New Roman" w:hAnsi="Times New Roman"/>
          <w:sz w:val="24"/>
          <w:szCs w:val="24"/>
        </w:rPr>
        <w:t xml:space="preserve"> Ca++ could be a result of the impaired absorption of food metabolites from the gastrointestinal precursor, excessive losses through urine, colostrums as it was much more drained in the colostrums during excessive milking and due to insufficient mobilization from the skeleton. As the stage of lactation progresses the serum calcium level increased which corroborates with the findings of Rowlands et al, (1975) and Nale (2003). Ramakrishna (1991) recorded higher values (9.77±0.33 mg/dl) of calcium in lactating cows.</w:t>
      </w:r>
    </w:p>
    <w:p w:rsidR="001577B5" w:rsidRPr="00C830C2" w:rsidRDefault="001577B5" w:rsidP="001577B5">
      <w:pPr>
        <w:jc w:val="center"/>
        <w:rPr>
          <w:rFonts w:ascii="Times New Roman" w:hAnsi="Times New Roman"/>
        </w:rPr>
      </w:pPr>
      <w:r>
        <w:rPr>
          <w:rFonts w:ascii="Times New Roman" w:hAnsi="Times New Roman"/>
          <w:noProof/>
        </w:rPr>
        <w:lastRenderedPageBreak/>
        <w:drawing>
          <wp:inline distT="0" distB="0" distL="0" distR="0">
            <wp:extent cx="4010025" cy="2930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10025" cy="2930761"/>
                    </a:xfrm>
                    <a:prstGeom prst="rect">
                      <a:avLst/>
                    </a:prstGeom>
                    <a:noFill/>
                    <a:ln w="9525">
                      <a:noFill/>
                      <a:miter lim="800000"/>
                      <a:headEnd/>
                      <a:tailEnd/>
                    </a:ln>
                  </pic:spPr>
                </pic:pic>
              </a:graphicData>
            </a:graphic>
          </wp:inline>
        </w:drawing>
      </w:r>
    </w:p>
    <w:p w:rsidR="001577B5" w:rsidRPr="00C830C2" w:rsidRDefault="001577B5" w:rsidP="001577B5">
      <w:pPr>
        <w:jc w:val="center"/>
        <w:rPr>
          <w:rFonts w:ascii="Times New Roman" w:hAnsi="Times New Roman"/>
        </w:rPr>
      </w:pPr>
      <w:r w:rsidRPr="00C830C2">
        <w:rPr>
          <w:rFonts w:ascii="Times New Roman" w:hAnsi="Times New Roman"/>
        </w:rPr>
        <w:t>Figure 1: Boxplot showing the visual comparison of minimum, maximum and median values of calcium between group 1 and 2</w:t>
      </w:r>
    </w:p>
    <w:p w:rsidR="001577B5" w:rsidRPr="00E85083" w:rsidRDefault="001577B5" w:rsidP="001577B5">
      <w:pPr>
        <w:autoSpaceDE w:val="0"/>
        <w:autoSpaceDN w:val="0"/>
        <w:adjustRightInd w:val="0"/>
        <w:spacing w:after="0" w:line="360" w:lineRule="auto"/>
        <w:jc w:val="both"/>
        <w:rPr>
          <w:rFonts w:ascii="Times New Roman" w:hAnsi="Times New Roman"/>
          <w:b/>
          <w:bCs/>
          <w:sz w:val="2"/>
          <w:szCs w:val="2"/>
        </w:rPr>
      </w:pP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5.2 </w:t>
      </w:r>
      <w:r w:rsidRPr="00C830C2">
        <w:rPr>
          <w:rFonts w:ascii="Times New Roman" w:hAnsi="Times New Roman"/>
          <w:b/>
          <w:bCs/>
          <w:sz w:val="28"/>
          <w:szCs w:val="28"/>
        </w:rPr>
        <w:t>Magnesium</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Magnesium plays a vital role during the</w:t>
      </w:r>
      <w:r>
        <w:rPr>
          <w:rFonts w:ascii="Times New Roman" w:hAnsi="Times New Roman"/>
          <w:sz w:val="24"/>
          <w:szCs w:val="24"/>
        </w:rPr>
        <w:t xml:space="preserve"> </w:t>
      </w:r>
      <w:r w:rsidRPr="00C830C2">
        <w:rPr>
          <w:rFonts w:ascii="Times New Roman" w:hAnsi="Times New Roman"/>
          <w:sz w:val="24"/>
          <w:szCs w:val="24"/>
        </w:rPr>
        <w:t>metabolism of carbohydrates, lipids, nucleic acids and proteins. In present investigation serum magnesium concentration in various groups of buffaloes did not differ significantly. However, Rao et al, (1981) recorded higher magnesium levels (3.47±0.23 mg/dl) while Gupta and Rai (1987) recorded lowered magnesium mean values.</w:t>
      </w:r>
    </w:p>
    <w:p w:rsidR="001577B5" w:rsidRPr="00C830C2" w:rsidRDefault="001577B5" w:rsidP="001577B5">
      <w:pPr>
        <w:jc w:val="center"/>
        <w:rPr>
          <w:rFonts w:ascii="Times New Roman" w:hAnsi="Times New Roman"/>
        </w:rPr>
      </w:pPr>
      <w:r>
        <w:rPr>
          <w:rFonts w:ascii="Times New Roman" w:hAnsi="Times New Roman"/>
          <w:noProof/>
        </w:rPr>
        <w:drawing>
          <wp:inline distT="0" distB="0" distL="0" distR="0">
            <wp:extent cx="4286250" cy="313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86250" cy="3133725"/>
                    </a:xfrm>
                    <a:prstGeom prst="rect">
                      <a:avLst/>
                    </a:prstGeom>
                    <a:noFill/>
                    <a:ln w="9525">
                      <a:noFill/>
                      <a:miter lim="800000"/>
                      <a:headEnd/>
                      <a:tailEnd/>
                    </a:ln>
                  </pic:spPr>
                </pic:pic>
              </a:graphicData>
            </a:graphic>
          </wp:inline>
        </w:drawing>
      </w:r>
    </w:p>
    <w:p w:rsidR="001577B5" w:rsidRPr="00C830C2" w:rsidRDefault="001577B5" w:rsidP="001577B5">
      <w:pPr>
        <w:jc w:val="center"/>
        <w:rPr>
          <w:rFonts w:ascii="Times New Roman" w:hAnsi="Times New Roman"/>
        </w:rPr>
      </w:pPr>
      <w:r w:rsidRPr="00C830C2">
        <w:rPr>
          <w:rFonts w:ascii="Times New Roman" w:hAnsi="Times New Roman"/>
        </w:rPr>
        <w:t>Figure 2: Boxplot showing the visual comparison of minimum, maximum and median values of magnesium between group 1 and 2</w:t>
      </w: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lastRenderedPageBreak/>
        <w:t xml:space="preserve">5.3 </w:t>
      </w:r>
      <w:r w:rsidRPr="00C830C2">
        <w:rPr>
          <w:rFonts w:ascii="Times New Roman" w:hAnsi="Times New Roman"/>
          <w:b/>
          <w:bCs/>
          <w:sz w:val="28"/>
          <w:szCs w:val="28"/>
        </w:rPr>
        <w:t>Phosphorus</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The s</w:t>
      </w:r>
      <w:r>
        <w:rPr>
          <w:rFonts w:ascii="Times New Roman" w:hAnsi="Times New Roman"/>
          <w:sz w:val="24"/>
          <w:szCs w:val="24"/>
        </w:rPr>
        <w:t>erum phosphorus level in Group 1</w:t>
      </w:r>
      <w:r w:rsidRPr="00C830C2">
        <w:rPr>
          <w:rFonts w:ascii="Times New Roman" w:hAnsi="Times New Roman"/>
          <w:sz w:val="24"/>
          <w:szCs w:val="24"/>
        </w:rPr>
        <w:t xml:space="preserve"> (4.64±0.34 mg/dl) was signif</w:t>
      </w:r>
      <w:r>
        <w:rPr>
          <w:rFonts w:ascii="Times New Roman" w:hAnsi="Times New Roman"/>
          <w:sz w:val="24"/>
          <w:szCs w:val="24"/>
        </w:rPr>
        <w:t>icantly higher than the Group 2</w:t>
      </w:r>
      <w:r w:rsidRPr="00C830C2">
        <w:rPr>
          <w:rFonts w:ascii="Times New Roman" w:hAnsi="Times New Roman"/>
          <w:sz w:val="24"/>
          <w:szCs w:val="24"/>
        </w:rPr>
        <w:t xml:space="preserve"> (4.44±0.41 mg/dl). Moderate depression in the levels</w:t>
      </w:r>
      <w:r w:rsidRPr="00C830C2">
        <w:rPr>
          <w:rFonts w:ascii="Times New Roman" w:hAnsi="Times New Roman"/>
          <w:b/>
          <w:bCs/>
          <w:sz w:val="24"/>
          <w:szCs w:val="24"/>
        </w:rPr>
        <w:t xml:space="preserve"> </w:t>
      </w:r>
      <w:r w:rsidRPr="00C830C2">
        <w:rPr>
          <w:rFonts w:ascii="Times New Roman" w:hAnsi="Times New Roman"/>
          <w:sz w:val="24"/>
          <w:szCs w:val="24"/>
        </w:rPr>
        <w:t>of phosphorus might be due to the necessity of it for</w:t>
      </w:r>
      <w:r w:rsidRPr="00C830C2">
        <w:rPr>
          <w:rFonts w:ascii="Times New Roman" w:hAnsi="Times New Roman"/>
          <w:b/>
          <w:bCs/>
          <w:sz w:val="24"/>
          <w:szCs w:val="24"/>
        </w:rPr>
        <w:t xml:space="preserve"> </w:t>
      </w:r>
      <w:r w:rsidRPr="00C830C2">
        <w:rPr>
          <w:rFonts w:ascii="Times New Roman" w:hAnsi="Times New Roman"/>
          <w:sz w:val="24"/>
          <w:szCs w:val="24"/>
        </w:rPr>
        <w:t>the colostrums synthesis (Rook and Thomas, 1983)</w:t>
      </w:r>
      <w:r w:rsidRPr="00C830C2">
        <w:rPr>
          <w:rFonts w:ascii="Times New Roman" w:hAnsi="Times New Roman"/>
          <w:b/>
          <w:bCs/>
          <w:sz w:val="24"/>
          <w:szCs w:val="24"/>
        </w:rPr>
        <w:t xml:space="preserve"> </w:t>
      </w:r>
      <w:r w:rsidRPr="00C830C2">
        <w:rPr>
          <w:rFonts w:ascii="Times New Roman" w:hAnsi="Times New Roman"/>
          <w:sz w:val="24"/>
          <w:szCs w:val="24"/>
        </w:rPr>
        <w:t>and enhanced carbohydrate metabolism.</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p>
    <w:p w:rsidR="001577B5" w:rsidRPr="00C830C2" w:rsidRDefault="001577B5" w:rsidP="001577B5">
      <w:pPr>
        <w:jc w:val="center"/>
        <w:rPr>
          <w:rFonts w:ascii="Times New Roman" w:hAnsi="Times New Roman"/>
        </w:rPr>
      </w:pPr>
      <w:r>
        <w:rPr>
          <w:rFonts w:ascii="Times New Roman" w:hAnsi="Times New Roman"/>
          <w:noProof/>
        </w:rPr>
        <w:drawing>
          <wp:inline distT="0" distB="0" distL="0" distR="0">
            <wp:extent cx="4276725" cy="313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76725" cy="3133725"/>
                    </a:xfrm>
                    <a:prstGeom prst="rect">
                      <a:avLst/>
                    </a:prstGeom>
                    <a:noFill/>
                    <a:ln w="9525">
                      <a:noFill/>
                      <a:miter lim="800000"/>
                      <a:headEnd/>
                      <a:tailEnd/>
                    </a:ln>
                  </pic:spPr>
                </pic:pic>
              </a:graphicData>
            </a:graphic>
          </wp:inline>
        </w:drawing>
      </w:r>
    </w:p>
    <w:p w:rsidR="001577B5" w:rsidRPr="00C830C2" w:rsidRDefault="001577B5" w:rsidP="001577B5">
      <w:pPr>
        <w:jc w:val="both"/>
        <w:rPr>
          <w:rFonts w:ascii="Times New Roman" w:hAnsi="Times New Roman"/>
        </w:rPr>
      </w:pPr>
    </w:p>
    <w:p w:rsidR="001577B5" w:rsidRPr="00C830C2" w:rsidRDefault="001577B5" w:rsidP="001577B5">
      <w:pPr>
        <w:jc w:val="center"/>
        <w:rPr>
          <w:rFonts w:ascii="Times New Roman" w:hAnsi="Times New Roman"/>
        </w:rPr>
      </w:pPr>
      <w:r w:rsidRPr="00C830C2">
        <w:rPr>
          <w:rFonts w:ascii="Times New Roman" w:hAnsi="Times New Roman"/>
        </w:rPr>
        <w:t>Figure 3: Boxplot showing the visual comparison of minimum, maximum and median values of phosphorus between group 1 and 2</w:t>
      </w: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5.4 </w:t>
      </w:r>
      <w:r w:rsidRPr="00C830C2">
        <w:rPr>
          <w:rFonts w:ascii="Times New Roman" w:hAnsi="Times New Roman"/>
          <w:b/>
          <w:bCs/>
          <w:sz w:val="28"/>
          <w:szCs w:val="28"/>
        </w:rPr>
        <w:t>Total Proteins</w:t>
      </w:r>
    </w:p>
    <w:p w:rsidR="001577B5" w:rsidRPr="00C830C2" w:rsidRDefault="001577B5" w:rsidP="001577B5">
      <w:pPr>
        <w:spacing w:line="360" w:lineRule="auto"/>
        <w:jc w:val="both"/>
        <w:rPr>
          <w:rFonts w:ascii="Times New Roman" w:hAnsi="Times New Roman"/>
          <w:noProof/>
        </w:rPr>
      </w:pPr>
      <w:r w:rsidRPr="00C830C2">
        <w:rPr>
          <w:rFonts w:ascii="Times New Roman" w:hAnsi="Times New Roman"/>
          <w:sz w:val="24"/>
          <w:szCs w:val="24"/>
        </w:rPr>
        <w:t xml:space="preserve"> I</w:t>
      </w:r>
      <w:r>
        <w:rPr>
          <w:rFonts w:ascii="Times New Roman" w:hAnsi="Times New Roman"/>
          <w:sz w:val="24"/>
          <w:szCs w:val="24"/>
        </w:rPr>
        <w:t>n Group 1</w:t>
      </w:r>
      <w:r w:rsidRPr="00C830C2">
        <w:rPr>
          <w:rFonts w:ascii="Times New Roman" w:hAnsi="Times New Roman"/>
          <w:sz w:val="24"/>
          <w:szCs w:val="24"/>
        </w:rPr>
        <w:t xml:space="preserve"> anima</w:t>
      </w:r>
      <w:r>
        <w:rPr>
          <w:rFonts w:ascii="Times New Roman" w:hAnsi="Times New Roman"/>
          <w:sz w:val="24"/>
          <w:szCs w:val="24"/>
        </w:rPr>
        <w:t>ls, the serum total protein value</w:t>
      </w:r>
      <w:r w:rsidRPr="00C830C2">
        <w:rPr>
          <w:rFonts w:ascii="Times New Roman" w:hAnsi="Times New Roman"/>
          <w:sz w:val="24"/>
          <w:szCs w:val="24"/>
        </w:rPr>
        <w:t xml:space="preserve"> (33.0±3.37 m</w:t>
      </w:r>
      <w:r>
        <w:rPr>
          <w:rFonts w:ascii="Times New Roman" w:hAnsi="Times New Roman"/>
          <w:sz w:val="24"/>
          <w:szCs w:val="24"/>
        </w:rPr>
        <w:t>g/dl) was elevated than Group 2</w:t>
      </w:r>
      <w:r w:rsidRPr="00C830C2">
        <w:rPr>
          <w:rFonts w:ascii="Times New Roman" w:hAnsi="Times New Roman"/>
          <w:sz w:val="24"/>
          <w:szCs w:val="24"/>
        </w:rPr>
        <w:t xml:space="preserve"> (29.72±4.75 mg/dl). Kulkarni et al, (1983) recorded lowered concentration of total proteins than the recorded in present investigation. Higher serum total protein concentration might have been associated with infectious processes i.e. mastitis, metritis or have had improved because of dietary intake of concentrates. Total protein contents usually used as an appraisal of nutritive status of an animal reflecting food intake and metabolism. This increase in total protein concentration following parturition might be attributed to the haemoconcentration and water losses occurred following parturition.</w:t>
      </w:r>
      <w:r w:rsidRPr="00C830C2">
        <w:rPr>
          <w:rFonts w:ascii="Times New Roman" w:hAnsi="Times New Roman"/>
          <w:noProof/>
        </w:rPr>
        <w:t xml:space="preserve"> </w:t>
      </w:r>
    </w:p>
    <w:p w:rsidR="001577B5" w:rsidRPr="00C830C2" w:rsidRDefault="001577B5" w:rsidP="001577B5">
      <w:pPr>
        <w:jc w:val="center"/>
        <w:rPr>
          <w:rFonts w:ascii="Times New Roman" w:hAnsi="Times New Roman"/>
        </w:rPr>
      </w:pPr>
      <w:r>
        <w:rPr>
          <w:rFonts w:ascii="Times New Roman" w:hAnsi="Times New Roman"/>
          <w:noProof/>
        </w:rPr>
        <w:lastRenderedPageBreak/>
        <w:drawing>
          <wp:inline distT="0" distB="0" distL="0" distR="0">
            <wp:extent cx="398145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81450" cy="2914650"/>
                    </a:xfrm>
                    <a:prstGeom prst="rect">
                      <a:avLst/>
                    </a:prstGeom>
                    <a:noFill/>
                    <a:ln w="9525">
                      <a:noFill/>
                      <a:miter lim="800000"/>
                      <a:headEnd/>
                      <a:tailEnd/>
                    </a:ln>
                  </pic:spPr>
                </pic:pic>
              </a:graphicData>
            </a:graphic>
          </wp:inline>
        </w:drawing>
      </w:r>
    </w:p>
    <w:p w:rsidR="001577B5" w:rsidRPr="00C830C2" w:rsidRDefault="001577B5" w:rsidP="001577B5">
      <w:pPr>
        <w:jc w:val="center"/>
        <w:rPr>
          <w:rFonts w:ascii="Times New Roman" w:hAnsi="Times New Roman"/>
        </w:rPr>
      </w:pPr>
      <w:r w:rsidRPr="00C830C2">
        <w:rPr>
          <w:rFonts w:ascii="Times New Roman" w:hAnsi="Times New Roman"/>
        </w:rPr>
        <w:t>Figure 4: Boxplot showing the visual comparison of minimum, maximum and median values of total  protein between group 1 and 2</w:t>
      </w: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5.5 </w:t>
      </w:r>
      <w:r w:rsidRPr="00C830C2">
        <w:rPr>
          <w:rFonts w:ascii="Times New Roman" w:hAnsi="Times New Roman"/>
          <w:b/>
          <w:bCs/>
          <w:sz w:val="28"/>
          <w:szCs w:val="28"/>
        </w:rPr>
        <w:t>Glucose</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The glucose level is regarded as one of the</w:t>
      </w:r>
      <w:r>
        <w:rPr>
          <w:rFonts w:ascii="Times New Roman" w:hAnsi="Times New Roman"/>
          <w:sz w:val="24"/>
          <w:szCs w:val="24"/>
        </w:rPr>
        <w:t xml:space="preserve"> </w:t>
      </w:r>
      <w:r w:rsidRPr="00C830C2">
        <w:rPr>
          <w:rFonts w:ascii="Times New Roman" w:hAnsi="Times New Roman"/>
          <w:sz w:val="24"/>
          <w:szCs w:val="24"/>
        </w:rPr>
        <w:t>indicators of energy status in ruminants. The blood</w:t>
      </w:r>
      <w:r>
        <w:rPr>
          <w:rFonts w:ascii="Times New Roman" w:hAnsi="Times New Roman"/>
          <w:sz w:val="24"/>
          <w:szCs w:val="24"/>
        </w:rPr>
        <w:t xml:space="preserve"> </w:t>
      </w:r>
      <w:r w:rsidRPr="00C830C2">
        <w:rPr>
          <w:rFonts w:ascii="Times New Roman" w:hAnsi="Times New Roman"/>
          <w:sz w:val="24"/>
          <w:szCs w:val="24"/>
        </w:rPr>
        <w:t xml:space="preserve">glucose was </w:t>
      </w:r>
      <w:r>
        <w:rPr>
          <w:rFonts w:ascii="Times New Roman" w:hAnsi="Times New Roman"/>
          <w:sz w:val="24"/>
          <w:szCs w:val="24"/>
        </w:rPr>
        <w:t>significantly higher in Group 2</w:t>
      </w:r>
      <w:r w:rsidRPr="00C830C2">
        <w:rPr>
          <w:rFonts w:ascii="Times New Roman" w:hAnsi="Times New Roman"/>
          <w:sz w:val="24"/>
          <w:szCs w:val="24"/>
        </w:rPr>
        <w:t xml:space="preserve"> animal (14</w:t>
      </w:r>
      <w:r>
        <w:rPr>
          <w:rFonts w:ascii="Times New Roman" w:hAnsi="Times New Roman"/>
          <w:sz w:val="24"/>
          <w:szCs w:val="24"/>
        </w:rPr>
        <w:t>.59±4.23 mg/dl) than the Group 1</w:t>
      </w:r>
      <w:r w:rsidRPr="00C830C2">
        <w:rPr>
          <w:rFonts w:ascii="Times New Roman" w:hAnsi="Times New Roman"/>
          <w:sz w:val="24"/>
          <w:szCs w:val="24"/>
        </w:rPr>
        <w:t xml:space="preserve"> (12.71±3.42 mg/dl).</w:t>
      </w:r>
      <w:r>
        <w:rPr>
          <w:rFonts w:ascii="Times New Roman" w:hAnsi="Times New Roman"/>
          <w:sz w:val="24"/>
          <w:szCs w:val="24"/>
        </w:rPr>
        <w:t xml:space="preserve"> </w:t>
      </w:r>
      <w:r w:rsidRPr="00C830C2">
        <w:rPr>
          <w:rFonts w:ascii="Times New Roman" w:hAnsi="Times New Roman"/>
          <w:sz w:val="24"/>
          <w:szCs w:val="24"/>
        </w:rPr>
        <w:t xml:space="preserve">The lowered </w:t>
      </w:r>
      <w:r>
        <w:rPr>
          <w:rFonts w:ascii="Times New Roman" w:hAnsi="Times New Roman"/>
          <w:sz w:val="24"/>
          <w:szCs w:val="24"/>
        </w:rPr>
        <w:t>level</w:t>
      </w:r>
      <w:r w:rsidRPr="00C830C2">
        <w:rPr>
          <w:rFonts w:ascii="Times New Roman" w:hAnsi="Times New Roman"/>
          <w:sz w:val="24"/>
          <w:szCs w:val="24"/>
        </w:rPr>
        <w:t xml:space="preserve"> of blood glucose concentrations in early stage of lactation </w:t>
      </w:r>
      <w:r>
        <w:rPr>
          <w:rFonts w:ascii="Times New Roman" w:hAnsi="Times New Roman"/>
          <w:sz w:val="24"/>
          <w:szCs w:val="24"/>
        </w:rPr>
        <w:t>might be</w:t>
      </w:r>
      <w:r w:rsidRPr="00C830C2">
        <w:rPr>
          <w:rFonts w:ascii="Times New Roman" w:hAnsi="Times New Roman"/>
          <w:sz w:val="24"/>
          <w:szCs w:val="24"/>
        </w:rPr>
        <w:t xml:space="preserve"> due to large amount of blood glucose withdrawal by the mammary gland for the synthesis of milk lactose (Schultz, 1968). The hypoglycemia after parturition was attributed to heavy drain of glucose for lactose synthesis (Nale, 2003).</w:t>
      </w:r>
    </w:p>
    <w:p w:rsidR="001577B5" w:rsidRPr="00C830C2" w:rsidRDefault="001577B5" w:rsidP="001577B5">
      <w:pPr>
        <w:tabs>
          <w:tab w:val="left" w:pos="1440"/>
          <w:tab w:val="left" w:pos="7650"/>
        </w:tabs>
        <w:jc w:val="center"/>
        <w:rPr>
          <w:rFonts w:ascii="Times New Roman" w:hAnsi="Times New Roman"/>
        </w:rPr>
      </w:pPr>
      <w:r>
        <w:rPr>
          <w:rFonts w:ascii="Times New Roman" w:hAnsi="Times New Roman"/>
          <w:noProof/>
        </w:rPr>
        <w:drawing>
          <wp:inline distT="0" distB="0" distL="0" distR="0">
            <wp:extent cx="3990975"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990975" cy="2914650"/>
                    </a:xfrm>
                    <a:prstGeom prst="rect">
                      <a:avLst/>
                    </a:prstGeom>
                    <a:noFill/>
                    <a:ln w="9525">
                      <a:noFill/>
                      <a:miter lim="800000"/>
                      <a:headEnd/>
                      <a:tailEnd/>
                    </a:ln>
                  </pic:spPr>
                </pic:pic>
              </a:graphicData>
            </a:graphic>
          </wp:inline>
        </w:drawing>
      </w:r>
    </w:p>
    <w:p w:rsidR="001577B5" w:rsidRPr="00C830C2" w:rsidRDefault="001577B5" w:rsidP="001577B5">
      <w:pPr>
        <w:jc w:val="center"/>
        <w:rPr>
          <w:rFonts w:ascii="Times New Roman" w:hAnsi="Times New Roman"/>
        </w:rPr>
      </w:pPr>
      <w:r w:rsidRPr="00C830C2">
        <w:rPr>
          <w:rFonts w:ascii="Times New Roman" w:hAnsi="Times New Roman"/>
        </w:rPr>
        <w:t>Figure 5: Boxplot showing the visual comparison of minimum, maximum and median values of glucose between group 1 and 2</w:t>
      </w:r>
    </w:p>
    <w:p w:rsidR="001577B5" w:rsidRPr="00C830C2" w:rsidRDefault="001577B5" w:rsidP="001577B5">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lastRenderedPageBreak/>
        <w:t xml:space="preserve">5.6 </w:t>
      </w:r>
      <w:r w:rsidRPr="00C830C2">
        <w:rPr>
          <w:rFonts w:ascii="Times New Roman" w:hAnsi="Times New Roman"/>
          <w:b/>
          <w:bCs/>
          <w:sz w:val="28"/>
          <w:szCs w:val="28"/>
        </w:rPr>
        <w:t>Cholesterol</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Group 2</w:t>
      </w:r>
      <w:r w:rsidRPr="00C830C2">
        <w:rPr>
          <w:rFonts w:ascii="Times New Roman" w:hAnsi="Times New Roman"/>
          <w:sz w:val="24"/>
          <w:szCs w:val="24"/>
        </w:rPr>
        <w:t xml:space="preserve"> animal</w:t>
      </w:r>
      <w:r>
        <w:rPr>
          <w:rFonts w:ascii="Times New Roman" w:hAnsi="Times New Roman"/>
          <w:sz w:val="24"/>
          <w:szCs w:val="24"/>
        </w:rPr>
        <w:t>s,</w:t>
      </w:r>
      <w:r w:rsidRPr="00C830C2">
        <w:rPr>
          <w:rFonts w:ascii="Times New Roman" w:hAnsi="Times New Roman"/>
          <w:sz w:val="24"/>
          <w:szCs w:val="24"/>
        </w:rPr>
        <w:t xml:space="preserve"> the serum cholesterol val</w:t>
      </w:r>
      <w:r>
        <w:rPr>
          <w:rFonts w:ascii="Times New Roman" w:hAnsi="Times New Roman"/>
          <w:sz w:val="24"/>
          <w:szCs w:val="24"/>
        </w:rPr>
        <w:t>ue</w:t>
      </w:r>
      <w:r w:rsidRPr="00C830C2">
        <w:rPr>
          <w:rFonts w:ascii="Times New Roman" w:hAnsi="Times New Roman"/>
          <w:sz w:val="24"/>
          <w:szCs w:val="24"/>
        </w:rPr>
        <w:t xml:space="preserve"> (138.07±33.42 </w:t>
      </w:r>
      <w:r>
        <w:rPr>
          <w:rFonts w:ascii="Times New Roman" w:hAnsi="Times New Roman"/>
          <w:sz w:val="24"/>
          <w:szCs w:val="24"/>
        </w:rPr>
        <w:t>mg/dl) was higher than Group 1</w:t>
      </w:r>
      <w:r w:rsidRPr="00C830C2">
        <w:rPr>
          <w:rFonts w:ascii="Times New Roman" w:hAnsi="Times New Roman"/>
          <w:sz w:val="24"/>
          <w:szCs w:val="24"/>
        </w:rPr>
        <w:t xml:space="preserve"> (132.95±33.99 mg/dl). The descending trend in the serum cholesterol concentration in dry pregnant buffaloes compared to lactating buffaloes was observed (Nath et al, 2005). The serum total cholesterol concentration was minimum following calving and got build up as the lactation progresses (Rowlands et al, 1990). The higher level of cholesterol with advancement of lactation was a physiological adjustment to meet the lactation requirements. The hormonal level of estrogen along with thyroxin played a vital role in reducing the cholesterol levels during pregnancy.</w:t>
      </w: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p>
    <w:p w:rsidR="001577B5" w:rsidRPr="00C830C2" w:rsidRDefault="001577B5" w:rsidP="001577B5">
      <w:pPr>
        <w:autoSpaceDE w:val="0"/>
        <w:autoSpaceDN w:val="0"/>
        <w:adjustRightInd w:val="0"/>
        <w:spacing w:after="0" w:line="360" w:lineRule="auto"/>
        <w:jc w:val="both"/>
        <w:rPr>
          <w:rFonts w:ascii="Times New Roman" w:hAnsi="Times New Roman"/>
          <w:sz w:val="24"/>
          <w:szCs w:val="24"/>
        </w:rPr>
      </w:pPr>
    </w:p>
    <w:p w:rsidR="001577B5" w:rsidRPr="00C830C2" w:rsidRDefault="001577B5" w:rsidP="001577B5">
      <w:pPr>
        <w:jc w:val="center"/>
        <w:rPr>
          <w:rFonts w:ascii="Times New Roman" w:hAnsi="Times New Roman"/>
        </w:rPr>
      </w:pPr>
      <w:r>
        <w:rPr>
          <w:rFonts w:ascii="Times New Roman" w:hAnsi="Times New Roman"/>
          <w:noProof/>
        </w:rPr>
        <w:drawing>
          <wp:inline distT="0" distB="0" distL="0" distR="0">
            <wp:extent cx="4467225" cy="3267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467225" cy="3267075"/>
                    </a:xfrm>
                    <a:prstGeom prst="rect">
                      <a:avLst/>
                    </a:prstGeom>
                    <a:noFill/>
                    <a:ln w="9525">
                      <a:noFill/>
                      <a:miter lim="800000"/>
                      <a:headEnd/>
                      <a:tailEnd/>
                    </a:ln>
                  </pic:spPr>
                </pic:pic>
              </a:graphicData>
            </a:graphic>
          </wp:inline>
        </w:drawing>
      </w:r>
    </w:p>
    <w:p w:rsidR="001577B5" w:rsidRPr="00C830C2" w:rsidRDefault="001577B5" w:rsidP="001577B5">
      <w:pPr>
        <w:jc w:val="center"/>
        <w:rPr>
          <w:rFonts w:ascii="Times New Roman" w:hAnsi="Times New Roman"/>
        </w:rPr>
      </w:pPr>
      <w:r w:rsidRPr="00C830C2">
        <w:rPr>
          <w:rFonts w:ascii="Times New Roman" w:hAnsi="Times New Roman"/>
        </w:rPr>
        <w:t xml:space="preserve">Figure 6: </w:t>
      </w:r>
      <w:r>
        <w:rPr>
          <w:rFonts w:ascii="Times New Roman" w:hAnsi="Times New Roman"/>
        </w:rPr>
        <w:t>B</w:t>
      </w:r>
      <w:r w:rsidRPr="00C830C2">
        <w:rPr>
          <w:rFonts w:ascii="Times New Roman" w:hAnsi="Times New Roman"/>
        </w:rPr>
        <w:t>oxplot showing the visual comparison of minimum, maximum and median values of cholesterol between group 1 and 2</w:t>
      </w:r>
    </w:p>
    <w:p w:rsidR="001577B5" w:rsidRPr="00C830C2" w:rsidRDefault="001577B5" w:rsidP="001577B5">
      <w:pPr>
        <w:spacing w:after="0" w:line="360" w:lineRule="auto"/>
        <w:jc w:val="both"/>
        <w:rPr>
          <w:rFonts w:ascii="Times New Roman" w:hAnsi="Times New Roman"/>
          <w:b/>
          <w:sz w:val="24"/>
          <w:szCs w:val="24"/>
        </w:rPr>
      </w:pPr>
    </w:p>
    <w:p w:rsidR="001577B5" w:rsidRDefault="001577B5" w:rsidP="001577B5">
      <w:pPr>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 xml:space="preserve">5.7 </w:t>
      </w:r>
      <w:r w:rsidRPr="00C830C2">
        <w:rPr>
          <w:rFonts w:ascii="Times New Roman" w:hAnsi="Times New Roman"/>
          <w:b/>
          <w:bCs/>
          <w:sz w:val="28"/>
          <w:szCs w:val="28"/>
        </w:rPr>
        <w:t>Triglyceride</w:t>
      </w:r>
      <w:r w:rsidRPr="00C830C2">
        <w:rPr>
          <w:rFonts w:ascii="Times New Roman" w:hAnsi="Times New Roman"/>
          <w:sz w:val="28"/>
          <w:szCs w:val="28"/>
        </w:rPr>
        <w:t xml:space="preserve"> </w:t>
      </w:r>
    </w:p>
    <w:p w:rsidR="001577B5" w:rsidRPr="001577B5" w:rsidRDefault="001577B5" w:rsidP="001577B5">
      <w:pPr>
        <w:autoSpaceDE w:val="0"/>
        <w:autoSpaceDN w:val="0"/>
        <w:adjustRightInd w:val="0"/>
        <w:spacing w:after="0" w:line="360" w:lineRule="auto"/>
        <w:jc w:val="both"/>
        <w:rPr>
          <w:rFonts w:ascii="Times New Roman" w:hAnsi="Times New Roman"/>
          <w:sz w:val="4"/>
          <w:szCs w:val="4"/>
        </w:rPr>
      </w:pPr>
    </w:p>
    <w:p w:rsidR="001577B5" w:rsidRDefault="001577B5" w:rsidP="001577B5">
      <w:pPr>
        <w:autoSpaceDE w:val="0"/>
        <w:autoSpaceDN w:val="0"/>
        <w:adjustRightInd w:val="0"/>
        <w:spacing w:after="0" w:line="360" w:lineRule="auto"/>
        <w:jc w:val="both"/>
        <w:rPr>
          <w:rStyle w:val="apple-converted-space"/>
          <w:rFonts w:ascii="Arial" w:hAnsi="Arial" w:cs="Arial"/>
          <w:color w:val="000000"/>
          <w:sz w:val="21"/>
          <w:szCs w:val="21"/>
          <w:shd w:val="clear" w:color="auto" w:fill="FFFFFF"/>
        </w:rPr>
      </w:pPr>
      <w:r w:rsidRPr="00C830C2">
        <w:rPr>
          <w:rFonts w:ascii="Times New Roman" w:hAnsi="Times New Roman"/>
          <w:sz w:val="24"/>
          <w:szCs w:val="24"/>
        </w:rPr>
        <w:t>In G</w:t>
      </w:r>
      <w:r>
        <w:rPr>
          <w:rFonts w:ascii="Times New Roman" w:hAnsi="Times New Roman"/>
          <w:sz w:val="24"/>
          <w:szCs w:val="24"/>
        </w:rPr>
        <w:t>roup 2</w:t>
      </w:r>
      <w:r w:rsidRPr="00C830C2">
        <w:rPr>
          <w:rFonts w:ascii="Times New Roman" w:hAnsi="Times New Roman"/>
          <w:sz w:val="24"/>
          <w:szCs w:val="24"/>
        </w:rPr>
        <w:t xml:space="preserve"> animal the serum </w:t>
      </w:r>
      <w:r w:rsidRPr="00F70C91">
        <w:rPr>
          <w:rFonts w:ascii="Times New Roman" w:hAnsi="Times New Roman"/>
          <w:bCs/>
          <w:sz w:val="24"/>
          <w:szCs w:val="24"/>
        </w:rPr>
        <w:t>Triglyceride</w:t>
      </w:r>
      <w:r w:rsidRPr="00C830C2">
        <w:rPr>
          <w:rFonts w:ascii="Times New Roman" w:hAnsi="Times New Roman"/>
          <w:sz w:val="24"/>
          <w:szCs w:val="24"/>
        </w:rPr>
        <w:t xml:space="preserve"> values (29.53±2.93 </w:t>
      </w:r>
      <w:r>
        <w:rPr>
          <w:rFonts w:ascii="Times New Roman" w:hAnsi="Times New Roman"/>
          <w:sz w:val="24"/>
          <w:szCs w:val="24"/>
        </w:rPr>
        <w:t>mg/dl) was elevated than Group 1</w:t>
      </w:r>
      <w:r w:rsidRPr="00C830C2">
        <w:rPr>
          <w:rFonts w:ascii="Times New Roman" w:hAnsi="Times New Roman"/>
          <w:sz w:val="24"/>
          <w:szCs w:val="24"/>
        </w:rPr>
        <w:t xml:space="preserve"> (27.27±5.93 mg/dl).</w:t>
      </w:r>
      <w:r>
        <w:rPr>
          <w:rFonts w:ascii="Times New Roman" w:hAnsi="Times New Roman"/>
          <w:sz w:val="24"/>
          <w:szCs w:val="24"/>
        </w:rPr>
        <w:t xml:space="preserve"> </w:t>
      </w:r>
      <w:r w:rsidRPr="00B8415F">
        <w:rPr>
          <w:rFonts w:ascii="Times New Roman" w:hAnsi="Times New Roman"/>
          <w:color w:val="000000"/>
          <w:sz w:val="24"/>
          <w:szCs w:val="24"/>
          <w:shd w:val="clear" w:color="auto" w:fill="FFFFFF"/>
        </w:rPr>
        <w:t xml:space="preserve">Elevations in triglycerides can be caused by an inherited disorder, another health condition, adverse effects of medications, or a combination of these factors. In day-to-day practice, secondary causes of high triglycerides are far more common </w:t>
      </w:r>
      <w:r w:rsidRPr="00B8415F">
        <w:rPr>
          <w:rFonts w:ascii="Times New Roman" w:hAnsi="Times New Roman"/>
          <w:color w:val="000000"/>
          <w:sz w:val="24"/>
          <w:szCs w:val="24"/>
          <w:shd w:val="clear" w:color="auto" w:fill="FFFFFF"/>
        </w:rPr>
        <w:lastRenderedPageBreak/>
        <w:t>than inherited disorders</w:t>
      </w:r>
      <w:r>
        <w:rPr>
          <w:rFonts w:ascii="Times New Roman" w:hAnsi="Times New Roman"/>
          <w:color w:val="000000"/>
          <w:sz w:val="24"/>
          <w:szCs w:val="24"/>
          <w:shd w:val="clear" w:color="auto" w:fill="FFFFFF"/>
        </w:rPr>
        <w:t>.</w:t>
      </w:r>
      <w:r w:rsidRPr="006E20B0">
        <w:rPr>
          <w:rFonts w:ascii="Arial" w:hAnsi="Arial" w:cs="Arial"/>
          <w:color w:val="000000"/>
          <w:sz w:val="21"/>
          <w:szCs w:val="21"/>
          <w:shd w:val="clear" w:color="auto" w:fill="FFFFFF"/>
        </w:rPr>
        <w:t xml:space="preserve"> </w:t>
      </w:r>
      <w:r w:rsidRPr="006E20B0">
        <w:rPr>
          <w:rFonts w:ascii="Times New Roman" w:hAnsi="Times New Roman"/>
          <w:color w:val="000000"/>
          <w:sz w:val="24"/>
          <w:szCs w:val="24"/>
          <w:shd w:val="clear" w:color="auto" w:fill="FFFFFF"/>
        </w:rPr>
        <w:t>Hypertriglyceridemia is responsible for the development of coronary heart disease and other atherosclerotic diseases.</w:t>
      </w:r>
      <w:r>
        <w:rPr>
          <w:rStyle w:val="apple-converted-space"/>
          <w:rFonts w:ascii="Arial" w:hAnsi="Arial" w:cs="Arial"/>
          <w:color w:val="000000"/>
          <w:sz w:val="21"/>
          <w:szCs w:val="21"/>
          <w:shd w:val="clear" w:color="auto" w:fill="FFFFFF"/>
        </w:rPr>
        <w:t> </w:t>
      </w:r>
    </w:p>
    <w:p w:rsidR="001577B5" w:rsidRPr="00B8415F" w:rsidRDefault="001577B5" w:rsidP="001577B5">
      <w:pPr>
        <w:autoSpaceDE w:val="0"/>
        <w:autoSpaceDN w:val="0"/>
        <w:adjustRightInd w:val="0"/>
        <w:spacing w:after="0" w:line="360" w:lineRule="auto"/>
        <w:jc w:val="both"/>
        <w:rPr>
          <w:rFonts w:ascii="Times New Roman" w:hAnsi="Times New Roman"/>
          <w:sz w:val="24"/>
          <w:szCs w:val="24"/>
        </w:rPr>
      </w:pPr>
    </w:p>
    <w:p w:rsidR="001577B5" w:rsidRPr="00C830C2" w:rsidRDefault="001577B5" w:rsidP="001577B5">
      <w:pPr>
        <w:jc w:val="center"/>
        <w:rPr>
          <w:rFonts w:ascii="Times New Roman" w:hAnsi="Times New Roman"/>
        </w:rPr>
      </w:pPr>
      <w:r>
        <w:rPr>
          <w:rFonts w:ascii="Times New Roman" w:hAnsi="Times New Roman"/>
          <w:noProof/>
        </w:rPr>
        <w:drawing>
          <wp:inline distT="0" distB="0" distL="0" distR="0">
            <wp:extent cx="4314825"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314825" cy="3152775"/>
                    </a:xfrm>
                    <a:prstGeom prst="rect">
                      <a:avLst/>
                    </a:prstGeom>
                    <a:noFill/>
                    <a:ln w="9525">
                      <a:noFill/>
                      <a:miter lim="800000"/>
                      <a:headEnd/>
                      <a:tailEnd/>
                    </a:ln>
                  </pic:spPr>
                </pic:pic>
              </a:graphicData>
            </a:graphic>
          </wp:inline>
        </w:drawing>
      </w:r>
    </w:p>
    <w:p w:rsidR="001577B5" w:rsidRPr="006E20B0" w:rsidRDefault="001577B5" w:rsidP="001577B5">
      <w:pPr>
        <w:jc w:val="both"/>
        <w:rPr>
          <w:rFonts w:ascii="Times New Roman" w:hAnsi="Times New Roman"/>
          <w:sz w:val="10"/>
          <w:szCs w:val="10"/>
        </w:rPr>
      </w:pPr>
    </w:p>
    <w:p w:rsidR="001577B5" w:rsidRPr="00C830C2" w:rsidRDefault="001577B5" w:rsidP="001577B5">
      <w:pPr>
        <w:jc w:val="center"/>
        <w:rPr>
          <w:rFonts w:ascii="Times New Roman" w:hAnsi="Times New Roman"/>
        </w:rPr>
      </w:pPr>
      <w:r w:rsidRPr="00C830C2">
        <w:rPr>
          <w:rFonts w:ascii="Times New Roman" w:hAnsi="Times New Roman"/>
        </w:rPr>
        <w:t xml:space="preserve">Figure 7: </w:t>
      </w:r>
      <w:r>
        <w:rPr>
          <w:rFonts w:ascii="Times New Roman" w:hAnsi="Times New Roman"/>
        </w:rPr>
        <w:t>B</w:t>
      </w:r>
      <w:r w:rsidRPr="00C830C2">
        <w:rPr>
          <w:rFonts w:ascii="Times New Roman" w:hAnsi="Times New Roman"/>
        </w:rPr>
        <w:t>oxplot showing the visual comparison of minimum, maximum and median values of triglyceride between group 1 and 2</w:t>
      </w:r>
    </w:p>
    <w:p w:rsidR="00176AF5" w:rsidRPr="00130EAD" w:rsidRDefault="00176AF5" w:rsidP="001577B5">
      <w:pPr>
        <w:jc w:val="both"/>
      </w:pPr>
    </w:p>
    <w:sectPr w:rsidR="00176AF5" w:rsidRPr="00130EAD" w:rsidSect="001757DD">
      <w:headerReference w:type="default" r:id="rId13"/>
      <w:footerReference w:type="default" r:id="rId14"/>
      <w:pgSz w:w="11907" w:h="16839" w:code="9"/>
      <w:pgMar w:top="144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BCA" w:rsidRDefault="00FB3BCA" w:rsidP="00DA5FBE">
      <w:pPr>
        <w:spacing w:after="0" w:line="240" w:lineRule="auto"/>
      </w:pPr>
      <w:r>
        <w:separator/>
      </w:r>
    </w:p>
  </w:endnote>
  <w:endnote w:type="continuationSeparator" w:id="1">
    <w:p w:rsidR="00FB3BCA" w:rsidRDefault="00FB3BCA" w:rsidP="00DA5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74"/>
      <w:docPartObj>
        <w:docPartGallery w:val="Page Numbers (Bottom of Page)"/>
        <w:docPartUnique/>
      </w:docPartObj>
    </w:sdtPr>
    <w:sdtContent>
      <w:p w:rsidR="00DA5FBE" w:rsidRDefault="005C5B09">
        <w:pPr>
          <w:pStyle w:val="Footer"/>
        </w:pPr>
        <w:r>
          <w:rPr>
            <w:noProof/>
            <w:lang w:eastAsia="zh-TW"/>
          </w:rPr>
          <w:pict>
            <v:group id="_x0000_s307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74" type="#_x0000_t202" style="position:absolute;left:10803;top:14982;width:659;height:288" filled="f" stroked="f">
                <v:textbox style="mso-next-textbox:#_x0000_s3074" inset="0,0,0,0">
                  <w:txbxContent>
                    <w:p w:rsidR="00DA5FBE" w:rsidRDefault="005C5B09">
                      <w:pPr>
                        <w:jc w:val="center"/>
                      </w:pPr>
                      <w:fldSimple w:instr=" PAGE    \* MERGEFORMAT ">
                        <w:r w:rsidR="001577B5" w:rsidRPr="001577B5">
                          <w:rPr>
                            <w:noProof/>
                            <w:color w:val="8C8C8C" w:themeColor="background1" w:themeShade="8C"/>
                          </w:rPr>
                          <w:t>14</w:t>
                        </w:r>
                      </w:fldSimple>
                    </w:p>
                  </w:txbxContent>
                </v:textbox>
              </v:shape>
              <v:group id="_x0000_s3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76" type="#_x0000_t34" style="position:absolute;left:-8;top:14978;width:1260;height:230;flip:y" o:connectortype="elbow" adj=",1024457,257" strokecolor="#a5a5a5 [2092]"/>
                <v:shape id="_x0000_s307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BCA" w:rsidRDefault="00FB3BCA" w:rsidP="00DA5FBE">
      <w:pPr>
        <w:spacing w:after="0" w:line="240" w:lineRule="auto"/>
      </w:pPr>
      <w:r>
        <w:separator/>
      </w:r>
    </w:p>
  </w:footnote>
  <w:footnote w:type="continuationSeparator" w:id="1">
    <w:p w:rsidR="00FB3BCA" w:rsidRDefault="00FB3BCA" w:rsidP="00DA5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rPr>
      <w:alias w:val="Title"/>
      <w:id w:val="77738743"/>
      <w:placeholder>
        <w:docPart w:val="98BE6EBC888C40419E73DDC2E823CC31"/>
      </w:placeholder>
      <w:dataBinding w:prefixMappings="xmlns:ns0='http://schemas.openxmlformats.org/package/2006/metadata/core-properties' xmlns:ns1='http://purl.org/dc/elements/1.1/'" w:xpath="/ns0:coreProperties[1]/ns1:title[1]" w:storeItemID="{6C3C8BC8-F283-45AE-878A-BAB7291924A1}"/>
      <w:text/>
    </w:sdtPr>
    <w:sdtContent>
      <w:p w:rsidR="00DA5FBE" w:rsidRDefault="00DA5F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lgerian" w:eastAsiaTheme="majorEastAsia" w:hAnsi="Algerian" w:cstheme="majorBidi"/>
          </w:rPr>
          <w:t xml:space="preserve">                                                                                                                      </w:t>
        </w:r>
        <w:r w:rsidRPr="00DA5FBE">
          <w:rPr>
            <w:rFonts w:ascii="Algerian" w:eastAsiaTheme="majorEastAsia" w:hAnsi="Algerian" w:cstheme="majorBidi"/>
          </w:rPr>
          <w:t>Result and discussion</w:t>
        </w:r>
      </w:p>
    </w:sdtContent>
  </w:sdt>
  <w:p w:rsidR="00DA5FBE" w:rsidRDefault="00DA5F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3"/>
      <o:rules v:ext="edit">
        <o:r id="V:Rule3" type="connector" idref="#_x0000_s3076"/>
        <o:r id="V:Rule4" type="connector" idref="#_x0000_s3077"/>
      </o:rules>
    </o:shapelayout>
  </w:hdrShapeDefaults>
  <w:footnotePr>
    <w:footnote w:id="0"/>
    <w:footnote w:id="1"/>
  </w:footnotePr>
  <w:endnotePr>
    <w:endnote w:id="0"/>
    <w:endnote w:id="1"/>
  </w:endnotePr>
  <w:compat>
    <w:useFELayout/>
  </w:compat>
  <w:rsids>
    <w:rsidRoot w:val="00643B03"/>
    <w:rsid w:val="00012F75"/>
    <w:rsid w:val="00130EAD"/>
    <w:rsid w:val="001577B5"/>
    <w:rsid w:val="00163B8C"/>
    <w:rsid w:val="001757DD"/>
    <w:rsid w:val="00176AF5"/>
    <w:rsid w:val="001850FA"/>
    <w:rsid w:val="00236307"/>
    <w:rsid w:val="00371E98"/>
    <w:rsid w:val="00405CE3"/>
    <w:rsid w:val="00533375"/>
    <w:rsid w:val="005C5B09"/>
    <w:rsid w:val="00643B03"/>
    <w:rsid w:val="006B1D9B"/>
    <w:rsid w:val="007A3B54"/>
    <w:rsid w:val="007F4E58"/>
    <w:rsid w:val="0080360F"/>
    <w:rsid w:val="00820F07"/>
    <w:rsid w:val="00A837B7"/>
    <w:rsid w:val="00B4428C"/>
    <w:rsid w:val="00C42BCE"/>
    <w:rsid w:val="00DA5FBE"/>
    <w:rsid w:val="00DE2D95"/>
    <w:rsid w:val="00E9258A"/>
    <w:rsid w:val="00FB3BCA"/>
    <w:rsid w:val="00FB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643B03"/>
    <w:pPr>
      <w:spacing w:after="0" w:line="240" w:lineRule="auto"/>
      <w:jc w:val="both"/>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6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03"/>
    <w:rPr>
      <w:rFonts w:ascii="Tahoma" w:hAnsi="Tahoma" w:cs="Tahoma"/>
      <w:sz w:val="16"/>
      <w:szCs w:val="16"/>
    </w:rPr>
  </w:style>
  <w:style w:type="paragraph" w:styleId="Header">
    <w:name w:val="header"/>
    <w:basedOn w:val="Normal"/>
    <w:link w:val="HeaderChar"/>
    <w:uiPriority w:val="99"/>
    <w:unhideWhenUsed/>
    <w:rsid w:val="00D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BE"/>
  </w:style>
  <w:style w:type="paragraph" w:styleId="Footer">
    <w:name w:val="footer"/>
    <w:basedOn w:val="Normal"/>
    <w:link w:val="FooterChar"/>
    <w:uiPriority w:val="99"/>
    <w:semiHidden/>
    <w:unhideWhenUsed/>
    <w:rsid w:val="00DA5F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FBE"/>
  </w:style>
  <w:style w:type="character" w:customStyle="1" w:styleId="apple-converted-space">
    <w:name w:val="apple-converted-space"/>
    <w:basedOn w:val="DefaultParagraphFont"/>
    <w:rsid w:val="00130E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BE6EBC888C40419E73DDC2E823CC31"/>
        <w:category>
          <w:name w:val="General"/>
          <w:gallery w:val="placeholder"/>
        </w:category>
        <w:types>
          <w:type w:val="bbPlcHdr"/>
        </w:types>
        <w:behaviors>
          <w:behavior w:val="content"/>
        </w:behaviors>
        <w:guid w:val="{B859D17A-2D81-42B6-8EDC-8691F032CB30}"/>
      </w:docPartPr>
      <w:docPartBody>
        <w:p w:rsidR="00F11B42" w:rsidRDefault="0070120A" w:rsidP="0070120A">
          <w:pPr>
            <w:pStyle w:val="98BE6EBC888C40419E73DDC2E823CC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120A"/>
    <w:rsid w:val="00227F23"/>
    <w:rsid w:val="0070120A"/>
    <w:rsid w:val="00806347"/>
    <w:rsid w:val="00F11B42"/>
    <w:rsid w:val="00FE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E6EBC888C40419E73DDC2E823CC31">
    <w:name w:val="98BE6EBC888C40419E73DDC2E823CC31"/>
    <w:rsid w:val="007012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Result and discussion</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Result and discussion</dc:title>
  <dc:subject/>
  <dc:creator>Mohib</dc:creator>
  <cp:keywords/>
  <dc:description/>
  <cp:lastModifiedBy>Mohib</cp:lastModifiedBy>
  <cp:revision>21</cp:revision>
  <dcterms:created xsi:type="dcterms:W3CDTF">2014-11-28T16:01:00Z</dcterms:created>
  <dcterms:modified xsi:type="dcterms:W3CDTF">2015-01-18T10:44:00Z</dcterms:modified>
</cp:coreProperties>
</file>