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3" w:rsidRPr="006179F3" w:rsidRDefault="00156F04" w:rsidP="00617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CHAPTER-3</w:t>
      </w:r>
    </w:p>
    <w:p w:rsidR="007F7863" w:rsidRPr="006179F3" w:rsidRDefault="006179F3" w:rsidP="00617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F3">
        <w:rPr>
          <w:rFonts w:ascii="Times New Roman" w:hAnsi="Times New Roman" w:cs="Times New Roman"/>
          <w:b/>
          <w:sz w:val="28"/>
          <w:szCs w:val="28"/>
        </w:rPr>
        <w:t xml:space="preserve"> METHODOLOGY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863" w:rsidRPr="008E2C20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A352B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352B3" w:rsidRPr="008E2C20">
        <w:rPr>
          <w:rFonts w:ascii="Times New Roman" w:hAnsi="Times New Roman" w:cs="Times New Roman"/>
          <w:b/>
          <w:bCs/>
          <w:sz w:val="24"/>
          <w:szCs w:val="24"/>
        </w:rPr>
        <w:t>ase history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four months-old male Doberman </w:t>
      </w:r>
      <w:r w:rsidRPr="008E2C20">
        <w:rPr>
          <w:rFonts w:ascii="Times New Roman" w:hAnsi="Times New Roman" w:cs="Times New Roman"/>
          <w:sz w:val="24"/>
          <w:szCs w:val="24"/>
        </w:rPr>
        <w:t xml:space="preserve">dog was brought </w:t>
      </w:r>
      <w:r>
        <w:rPr>
          <w:rFonts w:ascii="Times New Roman" w:hAnsi="Times New Roman" w:cs="Times New Roman"/>
          <w:sz w:val="24"/>
          <w:szCs w:val="24"/>
        </w:rPr>
        <w:t>to the Pet Centre,</w:t>
      </w:r>
      <w:r w:rsidRPr="009E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proofErr w:type="gramEnd"/>
      <w:r w:rsidR="00C33BC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2012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Veterinary and</w:t>
      </w:r>
      <w:r>
        <w:rPr>
          <w:rFonts w:ascii="Times New Roman" w:hAnsi="Times New Roman" w:cs="Times New Roman"/>
          <w:sz w:val="24"/>
          <w:szCs w:val="24"/>
        </w:rPr>
        <w:t xml:space="preserve"> Animal Sciences University (TANUVAS),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Namakkal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</w:t>
      </w:r>
      <w:r w:rsidRPr="008E2C20">
        <w:rPr>
          <w:rFonts w:ascii="Times New Roman" w:hAnsi="Times New Roman" w:cs="Times New Roman"/>
          <w:sz w:val="24"/>
          <w:szCs w:val="24"/>
        </w:rPr>
        <w:t xml:space="preserve">, with a history of </w:t>
      </w:r>
      <w:r>
        <w:rPr>
          <w:rFonts w:ascii="Times New Roman" w:hAnsi="Times New Roman" w:cs="Times New Roman"/>
          <w:sz w:val="24"/>
          <w:szCs w:val="24"/>
        </w:rPr>
        <w:t xml:space="preserve">ingestion of pesticide powder (Methyl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Bromathion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with </w:t>
      </w:r>
      <w:r w:rsidRPr="008E2C20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miting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last two</w:t>
      </w:r>
      <w:r w:rsidRPr="008E2C20">
        <w:rPr>
          <w:rFonts w:ascii="Times New Roman" w:hAnsi="Times New Roman" w:cs="Times New Roman"/>
          <w:sz w:val="24"/>
          <w:szCs w:val="24"/>
        </w:rPr>
        <w:t xml:space="preserve"> days. There was no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defecat</w:t>
      </w:r>
      <w:r w:rsidR="00A062DB">
        <w:rPr>
          <w:rFonts w:ascii="Times New Roman" w:hAnsi="Times New Roman" w:cs="Times New Roman"/>
          <w:sz w:val="24"/>
          <w:szCs w:val="24"/>
        </w:rPr>
        <w:t>ion</w:t>
      </w:r>
      <w:proofErr w:type="gramStart"/>
      <w:r w:rsidR="00A062DB">
        <w:rPr>
          <w:rFonts w:ascii="Times New Roman" w:hAnsi="Times New Roman" w:cs="Times New Roman"/>
          <w:sz w:val="24"/>
          <w:szCs w:val="24"/>
        </w:rPr>
        <w:t>,f</w:t>
      </w:r>
      <w:r>
        <w:rPr>
          <w:rFonts w:ascii="Times New Roman" w:hAnsi="Times New Roman" w:cs="Times New Roman"/>
          <w:sz w:val="24"/>
          <w:szCs w:val="24"/>
        </w:rPr>
        <w:t>resh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was discharging through rectum and the dog</w:t>
      </w:r>
      <w:r w:rsidRPr="008E2C20">
        <w:rPr>
          <w:rFonts w:ascii="Times New Roman" w:hAnsi="Times New Roman" w:cs="Times New Roman"/>
          <w:sz w:val="24"/>
          <w:szCs w:val="24"/>
        </w:rPr>
        <w:t xml:space="preserve"> was taking only a few sips of water from the last two days.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E2C20">
        <w:rPr>
          <w:rFonts w:ascii="Times New Roman" w:hAnsi="Times New Roman" w:cs="Times New Roman"/>
          <w:sz w:val="24"/>
          <w:szCs w:val="24"/>
        </w:rPr>
        <w:t>ephradine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Vericef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Indus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India) (</w:t>
      </w:r>
      <w:r w:rsidRPr="008E2C20">
        <w:rPr>
          <w:rFonts w:ascii="Times New Roman" w:hAnsi="Times New Roman" w:cs="Times New Roman"/>
          <w:sz w:val="24"/>
          <w:szCs w:val="24"/>
        </w:rPr>
        <w:t>50 mg/kg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2C2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5% dextrose saline were given </w:t>
      </w:r>
      <w:r w:rsidRPr="008E2C20">
        <w:rPr>
          <w:rFonts w:ascii="Times New Roman" w:hAnsi="Times New Roman" w:cs="Times New Roman"/>
          <w:sz w:val="24"/>
          <w:szCs w:val="24"/>
        </w:rPr>
        <w:t>since the</w:t>
      </w:r>
      <w:r>
        <w:rPr>
          <w:rFonts w:ascii="Times New Roman" w:hAnsi="Times New Roman" w:cs="Times New Roman"/>
          <w:sz w:val="24"/>
          <w:szCs w:val="24"/>
        </w:rPr>
        <w:t xml:space="preserve"> clinical signs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 manifested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63" w:rsidRPr="00F0177D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B6BF6">
        <w:rPr>
          <w:rFonts w:ascii="Times New Roman" w:hAnsi="Times New Roman" w:cs="Times New Roman"/>
          <w:b/>
          <w:sz w:val="24"/>
          <w:szCs w:val="24"/>
        </w:rPr>
        <w:t>C</w:t>
      </w:r>
      <w:r w:rsidR="00EB6BF6" w:rsidRPr="00F0177D">
        <w:rPr>
          <w:rFonts w:ascii="Times New Roman" w:hAnsi="Times New Roman" w:cs="Times New Roman"/>
          <w:b/>
          <w:sz w:val="24"/>
          <w:szCs w:val="24"/>
        </w:rPr>
        <w:t>ase presentation</w:t>
      </w:r>
    </w:p>
    <w:p w:rsidR="007F7863" w:rsidRPr="000A4F2C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ITCGaramondStd-Lt" w:hAnsi="ITCGaramondStd-Lt" w:cs="ITCGaramondStd-Lt"/>
          <w:color w:val="000000"/>
          <w:sz w:val="24"/>
          <w:szCs w:val="24"/>
        </w:rPr>
      </w:pPr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On presentation, the dog was depressed but responsive and</w:t>
      </w:r>
      <w:r>
        <w:rPr>
          <w:rFonts w:ascii="ITCGaramondStd-Lt" w:hAnsi="ITCGaramondStd-Lt" w:cs="ITCGaramondStd-Lt"/>
          <w:color w:val="000000"/>
          <w:sz w:val="24"/>
          <w:szCs w:val="24"/>
        </w:rPr>
        <w:t xml:space="preserve"> </w:t>
      </w:r>
      <w:r w:rsidRPr="000A4F2C">
        <w:rPr>
          <w:rFonts w:ascii="ITCGaramondStd-Lt" w:hAnsi="ITCGaramondStd-Lt" w:cs="ITCGaramondStd-Lt"/>
          <w:color w:val="000000"/>
          <w:sz w:val="24"/>
          <w:szCs w:val="24"/>
        </w:rPr>
        <w:t xml:space="preserve">was assessed as 5% dehydrated. He was mildly </w:t>
      </w:r>
      <w:proofErr w:type="spellStart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hyperthermic</w:t>
      </w:r>
      <w:proofErr w:type="spellEnd"/>
      <w:r>
        <w:rPr>
          <w:rFonts w:ascii="ITCGaramondStd-Lt" w:hAnsi="ITCGaramondStd-Lt" w:cs="ITCGaramondStd-Lt"/>
          <w:color w:val="000000"/>
          <w:sz w:val="24"/>
          <w:szCs w:val="24"/>
        </w:rPr>
        <w:t xml:space="preserve"> </w:t>
      </w:r>
      <w:r w:rsidRPr="000A4F2C">
        <w:rPr>
          <w:rFonts w:ascii="ITCGaramondStd-Lt" w:hAnsi="ITCGaramondStd-Lt" w:cs="ITCGaramondStd-Lt"/>
          <w:color w:val="000000"/>
          <w:sz w:val="24"/>
          <w:szCs w:val="24"/>
        </w:rPr>
        <w:t xml:space="preserve">(103°F [39.4°C]), </w:t>
      </w:r>
      <w:proofErr w:type="spellStart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tachycardic</w:t>
      </w:r>
      <w:proofErr w:type="spellEnd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 xml:space="preserve"> (140 </w:t>
      </w:r>
      <w:proofErr w:type="spellStart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bpm</w:t>
      </w:r>
      <w:proofErr w:type="spellEnd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), and panting. His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ITCGaramondStd-Lt" w:hAnsi="ITCGaramondStd-Lt" w:cs="ITCGaramondStd-Lt"/>
          <w:color w:val="000000"/>
          <w:sz w:val="24"/>
          <w:szCs w:val="24"/>
        </w:rPr>
      </w:pPr>
      <w:proofErr w:type="gramStart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heart</w:t>
      </w:r>
      <w:proofErr w:type="gramEnd"/>
      <w:r w:rsidRPr="000A4F2C">
        <w:rPr>
          <w:rFonts w:ascii="ITCGaramondStd-Lt" w:hAnsi="ITCGaramondStd-Lt" w:cs="ITCGaramondStd-Lt"/>
          <w:color w:val="000000"/>
          <w:sz w:val="24"/>
          <w:szCs w:val="24"/>
        </w:rPr>
        <w:t xml:space="preserve"> sounds were muffled and lung sounds were clear on</w:t>
      </w:r>
      <w:r>
        <w:rPr>
          <w:rFonts w:ascii="ITCGaramondStd-Lt" w:hAnsi="ITCGaramondStd-Lt" w:cs="ITCGaramondStd-Lt"/>
          <w:color w:val="000000"/>
          <w:sz w:val="24"/>
          <w:szCs w:val="24"/>
        </w:rPr>
        <w:t xml:space="preserve"> </w:t>
      </w:r>
      <w:r w:rsidRPr="000A4F2C">
        <w:rPr>
          <w:rFonts w:ascii="ITCGaramondStd-Lt" w:hAnsi="ITCGaramondStd-Lt" w:cs="ITCGaramondStd-Lt"/>
          <w:color w:val="000000"/>
          <w:sz w:val="24"/>
          <w:szCs w:val="24"/>
        </w:rPr>
        <w:t>thoracic auscultation</w:t>
      </w:r>
      <w:r>
        <w:rPr>
          <w:rFonts w:ascii="ITCGaramondStd-Lt" w:hAnsi="ITCGaramondStd-Lt" w:cs="ITCGaramondStd-Lt"/>
          <w:color w:val="000000"/>
          <w:sz w:val="24"/>
          <w:szCs w:val="24"/>
        </w:rPr>
        <w:t>.</w:t>
      </w:r>
      <w:r w:rsidRPr="000A4F2C">
        <w:rPr>
          <w:rFonts w:ascii="ITCGaramondStd-Lt" w:hAnsi="ITCGaramondStd-Lt" w:cs="ITCGaramondStd-Lt"/>
          <w:color w:val="000000"/>
          <w:sz w:val="24"/>
          <w:szCs w:val="24"/>
        </w:rPr>
        <w:t xml:space="preserve"> 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Pr="008E2C20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="00EB6B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B6BF6" w:rsidRPr="008E2C20">
        <w:rPr>
          <w:rFonts w:ascii="Times New Roman" w:hAnsi="Times New Roman" w:cs="Times New Roman"/>
          <w:b/>
          <w:bCs/>
          <w:sz w:val="24"/>
          <w:szCs w:val="24"/>
        </w:rPr>
        <w:t>linical examination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20">
        <w:rPr>
          <w:rFonts w:ascii="Times New Roman" w:hAnsi="Times New Roman" w:cs="Times New Roman"/>
          <w:sz w:val="24"/>
          <w:szCs w:val="24"/>
        </w:rPr>
        <w:t>The animal was dehydrated and exhibited mild discomfort on abdominal palpation at the time of clinical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>examination. Physi</w:t>
      </w:r>
      <w:r>
        <w:rPr>
          <w:rFonts w:ascii="Times New Roman" w:hAnsi="Times New Roman" w:cs="Times New Roman"/>
          <w:sz w:val="24"/>
          <w:szCs w:val="24"/>
        </w:rPr>
        <w:t>cal examination revealed a firm and</w:t>
      </w:r>
      <w:r w:rsidRPr="008E2C20">
        <w:rPr>
          <w:rFonts w:ascii="Times New Roman" w:hAnsi="Times New Roman" w:cs="Times New Roman"/>
          <w:sz w:val="24"/>
          <w:szCs w:val="24"/>
        </w:rPr>
        <w:t xml:space="preserve"> painful mass in the mid-caudal abdomen. A series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concentric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hyperechoic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hypoechoic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rings appeared on ultrasound examination in the transverse plane</w:t>
      </w:r>
      <w:r w:rsidR="00C33BC5">
        <w:rPr>
          <w:rFonts w:ascii="Times New Roman" w:hAnsi="Times New Roman" w:cs="Times New Roman"/>
          <w:sz w:val="24"/>
          <w:szCs w:val="24"/>
        </w:rPr>
        <w:t xml:space="preserve"> (Figure</w:t>
      </w:r>
      <w:proofErr w:type="gramStart"/>
      <w:r w:rsidR="00C33BC5">
        <w:rPr>
          <w:rFonts w:ascii="Times New Roman" w:hAnsi="Times New Roman" w:cs="Times New Roman"/>
          <w:sz w:val="24"/>
          <w:szCs w:val="24"/>
        </w:rPr>
        <w:t>:7</w:t>
      </w:r>
      <w:proofErr w:type="gramEnd"/>
      <w:r w:rsidR="00C33BC5">
        <w:rPr>
          <w:rFonts w:ascii="Times New Roman" w:hAnsi="Times New Roman" w:cs="Times New Roman"/>
          <w:sz w:val="24"/>
          <w:szCs w:val="24"/>
        </w:rPr>
        <w:t>)</w:t>
      </w:r>
      <w:r w:rsidRPr="008E2C20">
        <w:rPr>
          <w:rFonts w:ascii="Times New Roman" w:hAnsi="Times New Roman" w:cs="Times New Roman"/>
          <w:sz w:val="24"/>
          <w:szCs w:val="24"/>
        </w:rPr>
        <w:t>. A sausage-shaped mass with folded layers of intestinal wall appeared on longitudinal scan</w:t>
      </w:r>
      <w:r w:rsidR="00C33BC5">
        <w:rPr>
          <w:rFonts w:ascii="Times New Roman" w:hAnsi="Times New Roman" w:cs="Times New Roman"/>
          <w:sz w:val="24"/>
          <w:szCs w:val="24"/>
        </w:rPr>
        <w:t xml:space="preserve"> (Figure</w:t>
      </w:r>
      <w:proofErr w:type="gramStart"/>
      <w:r w:rsidR="00C33BC5">
        <w:rPr>
          <w:rFonts w:ascii="Times New Roman" w:hAnsi="Times New Roman" w:cs="Times New Roman"/>
          <w:sz w:val="24"/>
          <w:szCs w:val="24"/>
        </w:rPr>
        <w:t>:8</w:t>
      </w:r>
      <w:proofErr w:type="gramEnd"/>
      <w:r w:rsidR="00C33BC5">
        <w:rPr>
          <w:rFonts w:ascii="Times New Roman" w:hAnsi="Times New Roman" w:cs="Times New Roman"/>
          <w:sz w:val="24"/>
          <w:szCs w:val="24"/>
        </w:rPr>
        <w:t>)</w:t>
      </w:r>
      <w:r w:rsidRPr="008E2C20">
        <w:rPr>
          <w:rFonts w:ascii="Times New Roman" w:hAnsi="Times New Roman" w:cs="Times New Roman"/>
          <w:sz w:val="24"/>
          <w:szCs w:val="24"/>
        </w:rPr>
        <w:t xml:space="preserve">. The ultrasound examination confirmed an intestinal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of about </w:t>
      </w:r>
      <w:r w:rsidR="00C33BC5">
        <w:rPr>
          <w:rFonts w:ascii="Times New Roman" w:hAnsi="Times New Roman" w:cs="Times New Roman"/>
          <w:sz w:val="24"/>
          <w:szCs w:val="24"/>
        </w:rPr>
        <w:t>4</w:t>
      </w:r>
      <w:r w:rsidRPr="008E2C20">
        <w:rPr>
          <w:rFonts w:ascii="Times New Roman" w:hAnsi="Times New Roman" w:cs="Times New Roman"/>
          <w:sz w:val="24"/>
          <w:szCs w:val="24"/>
        </w:rPr>
        <w:t xml:space="preserve"> inches in length and </w:t>
      </w:r>
      <w:r w:rsidR="00C33BC5">
        <w:rPr>
          <w:rFonts w:ascii="Times New Roman" w:hAnsi="Times New Roman" w:cs="Times New Roman"/>
          <w:sz w:val="24"/>
          <w:szCs w:val="24"/>
        </w:rPr>
        <w:t>2</w:t>
      </w:r>
      <w:r w:rsidRPr="008E2C20">
        <w:rPr>
          <w:rFonts w:ascii="Times New Roman" w:hAnsi="Times New Roman" w:cs="Times New Roman"/>
          <w:sz w:val="24"/>
          <w:szCs w:val="24"/>
        </w:rPr>
        <w:t xml:space="preserve"> inches in diameter.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00350" cy="2009775"/>
            <wp:effectExtent l="19050" t="0" r="0" b="0"/>
            <wp:docPr id="2" name="Picture 17" descr="Intruss_Fig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truss_Fig_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63" w:rsidRDefault="009E5BE2" w:rsidP="007F7863">
      <w:pPr>
        <w:pStyle w:val="NormalWeb"/>
        <w:spacing w:line="360" w:lineRule="auto"/>
        <w:jc w:val="both"/>
      </w:pPr>
      <w:r>
        <w:t>Figure 7</w:t>
      </w:r>
      <w:r w:rsidR="007F7863">
        <w:t>:  Ultrasound views of</w:t>
      </w:r>
      <w:proofErr w:type="gramStart"/>
      <w:r w:rsidR="007F7863">
        <w:t>  an</w:t>
      </w:r>
      <w:proofErr w:type="gramEnd"/>
      <w:r w:rsidR="007F7863">
        <w:t xml:space="preserve"> </w:t>
      </w:r>
      <w:proofErr w:type="spellStart"/>
      <w:r w:rsidR="007F7863">
        <w:t>intussusception</w:t>
      </w:r>
      <w:proofErr w:type="spellEnd"/>
      <w:r w:rsidR="007F7863">
        <w:t xml:space="preserve">.  The figure shows a transverse view. Alternating </w:t>
      </w:r>
      <w:proofErr w:type="spellStart"/>
      <w:r w:rsidR="007F7863">
        <w:t>hyperechoic</w:t>
      </w:r>
      <w:proofErr w:type="spellEnd"/>
      <w:r w:rsidR="007F7863">
        <w:t xml:space="preserve"> and </w:t>
      </w:r>
      <w:proofErr w:type="spellStart"/>
      <w:r w:rsidR="007F7863">
        <w:t>hypoechoic</w:t>
      </w:r>
      <w:proofErr w:type="spellEnd"/>
      <w:r w:rsidR="007F7863">
        <w:t xml:space="preserve"> concentric rings are present within the lumen of a distended loop of bowel, giving the typical "target" sign. 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971475"/>
            <wp:effectExtent l="19050" t="0" r="0" b="0"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50" cy="197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9E5BE2" w:rsidP="007F7863">
      <w:pPr>
        <w:pStyle w:val="NormalWeb"/>
        <w:spacing w:line="360" w:lineRule="auto"/>
        <w:jc w:val="both"/>
      </w:pPr>
      <w:r>
        <w:t>Figure 8</w:t>
      </w:r>
      <w:r w:rsidR="007F7863">
        <w:t xml:space="preserve">: shows a longitudinal view of the </w:t>
      </w:r>
      <w:proofErr w:type="spellStart"/>
      <w:r w:rsidR="007F7863">
        <w:t>intussusception</w:t>
      </w:r>
      <w:proofErr w:type="spellEnd"/>
      <w:r w:rsidR="007F7863">
        <w:t xml:space="preserve">.  Notice that multiple layers of bowel wall are within the lumen of the </w:t>
      </w:r>
      <w:proofErr w:type="spellStart"/>
      <w:r w:rsidR="007F7863">
        <w:t>intussuscipiens</w:t>
      </w:r>
      <w:proofErr w:type="spellEnd"/>
      <w:r w:rsidR="007F7863">
        <w:t xml:space="preserve">. </w:t>
      </w:r>
    </w:p>
    <w:p w:rsidR="007F7863" w:rsidRDefault="007F7863" w:rsidP="007F7863">
      <w:pPr>
        <w:pStyle w:val="NormalWeb"/>
        <w:spacing w:line="360" w:lineRule="auto"/>
        <w:jc w:val="both"/>
      </w:pPr>
    </w:p>
    <w:p w:rsidR="007F7863" w:rsidRDefault="007F7863" w:rsidP="007F7863">
      <w:pPr>
        <w:pStyle w:val="NormalWeb"/>
        <w:spacing w:line="360" w:lineRule="auto"/>
        <w:jc w:val="both"/>
      </w:pPr>
      <w:r>
        <w:lastRenderedPageBreak/>
        <w:t xml:space="preserve">Abdominal radiographs in dog was taken </w:t>
      </w:r>
      <w:proofErr w:type="gramStart"/>
      <w:r>
        <w:t xml:space="preserve">and </w:t>
      </w:r>
      <w:r w:rsidRPr="000A52FF">
        <w:t xml:space="preserve"> reveal</w:t>
      </w:r>
      <w:r>
        <w:t>ed</w:t>
      </w:r>
      <w:proofErr w:type="gramEnd"/>
      <w:r w:rsidRPr="000A52FF">
        <w:t xml:space="preserve"> gas-distended bowels,</w:t>
      </w:r>
      <w:r>
        <w:t xml:space="preserve"> </w:t>
      </w:r>
      <w:r w:rsidRPr="000A52FF">
        <w:t>consistent with me</w:t>
      </w:r>
      <w:r>
        <w:t>chanical intestinal obstruction.</w:t>
      </w:r>
      <w:r w:rsidRPr="000A52FF">
        <w:t xml:space="preserve"> A</w:t>
      </w:r>
      <w:r>
        <w:t xml:space="preserve"> </w:t>
      </w:r>
      <w:r w:rsidRPr="000A52FF">
        <w:t>soft-tissue opacity</w:t>
      </w:r>
      <w:r>
        <w:t xml:space="preserve"> mass was being</w:t>
      </w:r>
      <w:r w:rsidRPr="000A52FF">
        <w:t xml:space="preserve"> identified on survey</w:t>
      </w:r>
      <w:r>
        <w:t xml:space="preserve"> radiographs.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38">
        <w:rPr>
          <w:rFonts w:ascii="Helvetica-Condensed-Bold" w:hAnsi="Helvetica-Condensed-Bold" w:cs="Helvetica-Condensed-Bold"/>
          <w:b/>
          <w:bCs/>
          <w:noProof/>
          <w:sz w:val="17"/>
          <w:szCs w:val="17"/>
        </w:rPr>
        <w:drawing>
          <wp:inline distT="0" distB="0" distL="0" distR="0">
            <wp:extent cx="2362200" cy="232250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2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D38">
        <w:rPr>
          <w:rFonts w:ascii="Helvetica-Condensed-Bold" w:hAnsi="Helvetica-Condensed-Bold" w:cs="Helvetica-Condensed-Bold"/>
          <w:b/>
          <w:bCs/>
          <w:noProof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Helvetica-Condensed-Bold" w:hAnsi="Helvetica-Condensed-Bold" w:cs="Helvetica-Condensed-Bold"/>
          <w:b/>
          <w:bCs/>
          <w:noProof/>
          <w:sz w:val="17"/>
          <w:szCs w:val="17"/>
        </w:rPr>
        <w:t xml:space="preserve"> </w:t>
      </w:r>
      <w:r w:rsidRPr="001F6D38">
        <w:rPr>
          <w:rFonts w:ascii="Helvetica-Condensed-Bold" w:hAnsi="Helvetica-Condensed-Bold" w:cs="Helvetica-Condensed-Bold"/>
          <w:b/>
          <w:bCs/>
          <w:noProof/>
          <w:sz w:val="17"/>
          <w:szCs w:val="17"/>
        </w:rPr>
        <w:drawing>
          <wp:inline distT="0" distB="0" distL="0" distR="0">
            <wp:extent cx="2552700" cy="2323404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63" w:rsidRDefault="009E5BE2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6B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F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6B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noProof/>
        </w:rPr>
      </w:pPr>
    </w:p>
    <w:p w:rsidR="00B758D0" w:rsidRDefault="007F7863" w:rsidP="00B758D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Garamond-Regular" w:hAnsi="AGaramond-Regular" w:cs="AGaramond-Regular"/>
          <w:sz w:val="24"/>
          <w:szCs w:val="24"/>
        </w:rPr>
        <w:t>Figure</w:t>
      </w:r>
      <w:r w:rsidR="009E5BE2">
        <w:rPr>
          <w:rFonts w:ascii="AGaramond-Regular" w:hAnsi="AGaramond-Regular" w:cs="AGaramond-Regular"/>
          <w:sz w:val="24"/>
          <w:szCs w:val="24"/>
        </w:rPr>
        <w:t xml:space="preserve"> 9</w:t>
      </w:r>
      <w:r>
        <w:rPr>
          <w:rFonts w:ascii="AGaramond-Regular" w:hAnsi="AGaramond-Regular" w:cs="AGaramond-Regular"/>
          <w:sz w:val="24"/>
          <w:szCs w:val="24"/>
        </w:rPr>
        <w:t xml:space="preserve">: </w:t>
      </w:r>
      <w:r w:rsidRPr="001F6D38">
        <w:rPr>
          <w:rFonts w:ascii="AGaramond-Regular" w:hAnsi="AGaramond-Regular" w:cs="AGaramond-Regular"/>
          <w:sz w:val="24"/>
          <w:szCs w:val="24"/>
        </w:rPr>
        <w:t>Lateral (</w:t>
      </w:r>
      <w:r w:rsidR="009E5BE2">
        <w:rPr>
          <w:rFonts w:ascii="AGaramond-Bold" w:hAnsi="AGaramond-Bold" w:cs="AGaramond-Bold"/>
          <w:b/>
          <w:bCs/>
          <w:sz w:val="24"/>
          <w:szCs w:val="24"/>
        </w:rPr>
        <w:t>A</w:t>
      </w:r>
      <w:r w:rsidRPr="001F6D38">
        <w:rPr>
          <w:rFonts w:ascii="AGaramond-Regular" w:hAnsi="AGaramond-Regular" w:cs="AGaramond-Regular"/>
          <w:sz w:val="24"/>
          <w:szCs w:val="24"/>
        </w:rPr>
        <w:t xml:space="preserve">) and </w:t>
      </w:r>
      <w:proofErr w:type="spellStart"/>
      <w:r w:rsidRPr="001F6D38">
        <w:rPr>
          <w:rFonts w:ascii="AGaramond-Regular" w:hAnsi="AGaramond-Regular" w:cs="AGaramond-Regular"/>
          <w:sz w:val="24"/>
          <w:szCs w:val="24"/>
        </w:rPr>
        <w:t>ventrodorsal</w:t>
      </w:r>
      <w:proofErr w:type="spellEnd"/>
      <w:r w:rsidRPr="001F6D38">
        <w:rPr>
          <w:rFonts w:ascii="AGaramond-Regular" w:hAnsi="AGaramond-Regular" w:cs="AGaramond-Regular"/>
          <w:sz w:val="24"/>
          <w:szCs w:val="24"/>
        </w:rPr>
        <w:t xml:space="preserve"> (</w:t>
      </w:r>
      <w:r w:rsidR="009E5BE2">
        <w:rPr>
          <w:rFonts w:ascii="AGaramond-Bold" w:hAnsi="AGaramond-Bold" w:cs="AGaramond-Bold"/>
          <w:b/>
          <w:bCs/>
          <w:sz w:val="24"/>
          <w:szCs w:val="24"/>
        </w:rPr>
        <w:t>B</w:t>
      </w:r>
      <w:r w:rsidRPr="001F6D38">
        <w:rPr>
          <w:rFonts w:ascii="AGaramond-Regular" w:hAnsi="AGaramond-Regular" w:cs="AGaramond-Regular"/>
          <w:sz w:val="24"/>
          <w:szCs w:val="24"/>
        </w:rPr>
        <w:t xml:space="preserve">) </w:t>
      </w:r>
      <w:r>
        <w:rPr>
          <w:rFonts w:ascii="AGaramond-Regular" w:hAnsi="AGaramond-Regular" w:cs="AGaramond-Regular"/>
          <w:sz w:val="24"/>
          <w:szCs w:val="24"/>
        </w:rPr>
        <w:t xml:space="preserve">views of an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Ile</w:t>
      </w:r>
      <w:r w:rsidRPr="001F6D38">
        <w:rPr>
          <w:rFonts w:ascii="AGaramond-Regular" w:hAnsi="AGaramond-Regular" w:cs="AGaramond-Regular"/>
          <w:sz w:val="24"/>
          <w:szCs w:val="24"/>
        </w:rPr>
        <w:t>ocolic</w:t>
      </w:r>
      <w:proofErr w:type="spellEnd"/>
      <w:r w:rsidRPr="001F6D38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1F6D38">
        <w:rPr>
          <w:rFonts w:ascii="AGaramond-Regular" w:hAnsi="AGaramond-Regular" w:cs="AGaramond-Regular"/>
          <w:sz w:val="24"/>
          <w:szCs w:val="24"/>
        </w:rPr>
        <w:t>intussusception</w:t>
      </w:r>
      <w:proofErr w:type="spellEnd"/>
      <w:r w:rsidRPr="001F6D38">
        <w:rPr>
          <w:rFonts w:ascii="AGaramond-Regular" w:hAnsi="AGaramond-Regular" w:cs="AGaramond-Regular"/>
          <w:sz w:val="24"/>
          <w:szCs w:val="24"/>
        </w:rPr>
        <w:t xml:space="preserve"> following a barium enema. A large “coiled-spring”–appearing filling defect is present within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 w:rsidRPr="001F6D38">
        <w:rPr>
          <w:rFonts w:ascii="AGaramond-Regular" w:hAnsi="AGaramond-Regular" w:cs="AGaramond-Regular"/>
          <w:sz w:val="24"/>
          <w:szCs w:val="24"/>
        </w:rPr>
        <w:t xml:space="preserve">the transverse and descending colon. Barium is present within the lumen of the colon surrounding the </w:t>
      </w:r>
      <w:proofErr w:type="spellStart"/>
      <w:r w:rsidRPr="001F6D38">
        <w:rPr>
          <w:rFonts w:ascii="AGaramond-Regular" w:hAnsi="AGaramond-Regular" w:cs="AGaramond-Regular"/>
          <w:sz w:val="24"/>
          <w:szCs w:val="24"/>
        </w:rPr>
        <w:t>intussusceptum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</w:t>
      </w:r>
    </w:p>
    <w:p w:rsidR="007F7863" w:rsidRDefault="007F7863" w:rsidP="00B7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BF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history, clinical,</w:t>
      </w:r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ultrasonographic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radiographic</w:t>
      </w:r>
      <w:r w:rsidRPr="008E2C20">
        <w:rPr>
          <w:rFonts w:ascii="Times New Roman" w:hAnsi="Times New Roman" w:cs="Times New Roman"/>
          <w:sz w:val="24"/>
          <w:szCs w:val="24"/>
        </w:rPr>
        <w:t xml:space="preserve"> findings </w:t>
      </w:r>
      <w:r>
        <w:rPr>
          <w:rFonts w:ascii="Times New Roman" w:hAnsi="Times New Roman" w:cs="Times New Roman"/>
          <w:sz w:val="24"/>
          <w:szCs w:val="24"/>
        </w:rPr>
        <w:t xml:space="preserve">were suggestive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ileocolic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DD" w:rsidRDefault="00A059DD" w:rsidP="00617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B3" w:rsidRDefault="006179F3" w:rsidP="00617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7F7863" w:rsidRPr="00B12379">
        <w:rPr>
          <w:rFonts w:ascii="Times New Roman" w:hAnsi="Times New Roman" w:cs="Times New Roman"/>
          <w:b/>
          <w:sz w:val="24"/>
          <w:szCs w:val="24"/>
        </w:rPr>
        <w:t>Diagnostics</w:t>
      </w:r>
      <w:r w:rsidR="007F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F3" w:rsidRDefault="007F7863" w:rsidP="00DB5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gas analysis revealed alkalosis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2; 27.5 </w:t>
      </w:r>
      <w:r>
        <w:rPr>
          <w:rFonts w:ascii="Times New Roman" w:hAnsi="Times New Roman" w:cs="Times New Roman"/>
          <w:sz w:val="24"/>
          <w:szCs w:val="24"/>
        </w:rPr>
        <w:t xml:space="preserve">mmHg) with compensatory metabolic acidosis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hyperlactemia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Abnormalities on the complete blood count included a mildly decreased platelets count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characterized by a mature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. Blood chemistry abnormalities</w:t>
      </w:r>
      <w:r w:rsidR="00DB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hypoproteinemia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hypernatremia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B524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.The urine specific gravity was 1.057 (Reference range</w:t>
      </w:r>
      <w:proofErr w:type="gramStart"/>
      <w:r>
        <w:rPr>
          <w:rFonts w:ascii="Times New Roman" w:hAnsi="Times New Roman" w:cs="Times New Roman"/>
          <w:sz w:val="24"/>
          <w:szCs w:val="24"/>
        </w:rPr>
        <w:t>:1.030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-1.050). But urinalysis revealed no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abnormalities.</w:t>
      </w:r>
      <w:r w:rsidRPr="008E2C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blood picture showed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leucocytosis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lymphopenia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decreased levels of total</w:t>
      </w:r>
      <w:r w:rsidRPr="008E2C20">
        <w:rPr>
          <w:rFonts w:ascii="Times New Roman" w:hAnsi="Times New Roman" w:cs="Times New Roman"/>
          <w:sz w:val="24"/>
          <w:szCs w:val="24"/>
        </w:rPr>
        <w:t xml:space="preserve"> proteins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>(Table 1).</w:t>
      </w:r>
    </w:p>
    <w:p w:rsidR="007F7863" w:rsidRPr="008575FD" w:rsidRDefault="00DB5244" w:rsidP="008575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AA1C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1: </w:t>
      </w:r>
      <w:r w:rsidR="007F7863" w:rsidRPr="008575FD">
        <w:rPr>
          <w:rFonts w:ascii="Times New Roman" w:hAnsi="Times New Roman" w:cs="Times New Roman"/>
          <w:b/>
        </w:rPr>
        <w:t xml:space="preserve">Comparison of the </w:t>
      </w:r>
      <w:proofErr w:type="spellStart"/>
      <w:r w:rsidR="007F7863" w:rsidRPr="008575FD">
        <w:rPr>
          <w:rFonts w:ascii="Times New Roman" w:hAnsi="Times New Roman" w:cs="Times New Roman"/>
          <w:b/>
        </w:rPr>
        <w:t>haematological</w:t>
      </w:r>
      <w:proofErr w:type="spellEnd"/>
      <w:r w:rsidR="007F7863" w:rsidRPr="008575FD">
        <w:rPr>
          <w:rFonts w:ascii="Times New Roman" w:hAnsi="Times New Roman" w:cs="Times New Roman"/>
          <w:b/>
        </w:rPr>
        <w:t xml:space="preserve"> parameter</w:t>
      </w:r>
      <w:r w:rsidR="006179F3" w:rsidRPr="008575FD">
        <w:rPr>
          <w:rFonts w:ascii="Times New Roman" w:hAnsi="Times New Roman" w:cs="Times New Roman"/>
          <w:b/>
        </w:rPr>
        <w:t>s</w:t>
      </w:r>
      <w:r w:rsidR="007F7863" w:rsidRPr="008575FD">
        <w:rPr>
          <w:rFonts w:ascii="Times New Roman" w:hAnsi="Times New Roman" w:cs="Times New Roman"/>
          <w:b/>
        </w:rPr>
        <w:t xml:space="preserve"> </w:t>
      </w:r>
      <w:r w:rsidR="008575FD" w:rsidRPr="008575FD">
        <w:rPr>
          <w:rFonts w:ascii="Times New Roman" w:hAnsi="Times New Roman" w:cs="Times New Roman"/>
          <w:b/>
        </w:rPr>
        <w:t xml:space="preserve">of a four-months-old male </w:t>
      </w:r>
      <w:proofErr w:type="spellStart"/>
      <w:r w:rsidR="008575FD" w:rsidRPr="008575FD">
        <w:rPr>
          <w:rFonts w:ascii="Times New Roman" w:hAnsi="Times New Roman" w:cs="Times New Roman"/>
          <w:b/>
        </w:rPr>
        <w:t>doberman</w:t>
      </w:r>
      <w:proofErr w:type="spellEnd"/>
      <w:r w:rsidR="008575FD" w:rsidRPr="008575FD">
        <w:rPr>
          <w:rFonts w:ascii="Times New Roman" w:hAnsi="Times New Roman" w:cs="Times New Roman"/>
          <w:b/>
        </w:rPr>
        <w:t xml:space="preserve"> </w:t>
      </w:r>
      <w:proofErr w:type="gramStart"/>
      <w:r w:rsidR="008575FD" w:rsidRPr="008575FD">
        <w:rPr>
          <w:rFonts w:ascii="Times New Roman" w:hAnsi="Times New Roman" w:cs="Times New Roman"/>
          <w:b/>
        </w:rPr>
        <w:t xml:space="preserve">dog  </w:t>
      </w:r>
      <w:r w:rsidR="007F7863" w:rsidRPr="008575FD">
        <w:rPr>
          <w:rFonts w:ascii="Times New Roman" w:hAnsi="Times New Roman" w:cs="Times New Roman"/>
          <w:b/>
        </w:rPr>
        <w:t>with</w:t>
      </w:r>
      <w:proofErr w:type="gramEnd"/>
      <w:r w:rsidR="007F7863" w:rsidRPr="008575FD">
        <w:rPr>
          <w:rFonts w:ascii="Times New Roman" w:hAnsi="Times New Roman" w:cs="Times New Roman"/>
          <w:b/>
        </w:rPr>
        <w:t xml:space="preserve"> normal value.</w:t>
      </w:r>
    </w:p>
    <w:p w:rsidR="007F7863" w:rsidRPr="008575FD" w:rsidRDefault="007F7863" w:rsidP="008575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9461" w:type="dxa"/>
        <w:tblInd w:w="108" w:type="dxa"/>
        <w:tblLook w:val="04A0"/>
      </w:tblPr>
      <w:tblGrid>
        <w:gridCol w:w="2375"/>
        <w:gridCol w:w="2152"/>
        <w:gridCol w:w="2273"/>
        <w:gridCol w:w="696"/>
        <w:gridCol w:w="874"/>
        <w:gridCol w:w="1091"/>
      </w:tblGrid>
      <w:tr w:rsidR="007F7863" w:rsidRPr="00D57638" w:rsidTr="00CD6BCD">
        <w:trPr>
          <w:gridAfter w:val="1"/>
          <w:wAfter w:w="1091" w:type="dxa"/>
        </w:trPr>
        <w:tc>
          <w:tcPr>
            <w:tcW w:w="2375" w:type="dxa"/>
          </w:tcPr>
          <w:p w:rsidR="007F7863" w:rsidRPr="00F778A7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78A7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152" w:type="dxa"/>
          </w:tcPr>
          <w:p w:rsidR="007F7863" w:rsidRPr="00F778A7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78A7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F778A7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78A7">
              <w:rPr>
                <w:rFonts w:ascii="Times New Roman" w:hAnsi="Times New Roman" w:cs="Times New Roman"/>
                <w:b/>
              </w:rPr>
              <w:t>Normal value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Pr="00F778A7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78A7">
              <w:rPr>
                <w:rFonts w:ascii="Times New Roman" w:hAnsi="Times New Roman" w:cs="Times New Roman"/>
                <w:b/>
              </w:rPr>
              <w:t xml:space="preserve"> Remarks</w:t>
            </w:r>
          </w:p>
        </w:tc>
      </w:tr>
      <w:tr w:rsidR="007F7863" w:rsidTr="00CD6BCD">
        <w:trPr>
          <w:gridAfter w:val="1"/>
          <w:wAfter w:w="1091" w:type="dxa"/>
        </w:trPr>
        <w:tc>
          <w:tcPr>
            <w:tcW w:w="2375" w:type="dxa"/>
          </w:tcPr>
          <w:p w:rsidR="007F7863" w:rsidRPr="00BB1426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7.33-7.45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rPr>
          <w:gridAfter w:val="1"/>
          <w:wAfter w:w="1091" w:type="dxa"/>
        </w:trPr>
        <w:tc>
          <w:tcPr>
            <w:tcW w:w="2375" w:type="dxa"/>
          </w:tcPr>
          <w:p w:rsidR="007F7863" w:rsidRPr="00BB1426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27.7mmHg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29-42mmHg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rPr>
          <w:gridAfter w:val="1"/>
          <w:wAfter w:w="1091" w:type="dxa"/>
          <w:trHeight w:val="305"/>
        </w:trPr>
        <w:tc>
          <w:tcPr>
            <w:tcW w:w="2375" w:type="dxa"/>
            <w:tcBorders>
              <w:top w:val="nil"/>
            </w:tcBorders>
          </w:tcPr>
          <w:p w:rsidR="007F7863" w:rsidRPr="00BB1426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52" w:type="dxa"/>
            <w:tcBorders>
              <w:top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19.6MEq/L</w:t>
            </w:r>
          </w:p>
        </w:tc>
        <w:tc>
          <w:tcPr>
            <w:tcW w:w="2273" w:type="dxa"/>
            <w:tcBorders>
              <w:top w:val="nil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17-24MEq/L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F7863" w:rsidTr="00CD6BCD">
        <w:trPr>
          <w:gridAfter w:val="1"/>
          <w:wAfter w:w="1091" w:type="dxa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3.3mmol/L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0-2.5mmol/L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Default="00F2260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</w:tr>
      <w:tr w:rsidR="007F7863" w:rsidTr="00CD6BCD">
        <w:trPr>
          <w:gridAfter w:val="1"/>
          <w:wAfter w:w="1091" w:type="dxa"/>
          <w:trHeight w:val="260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blood cells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5.06*10</w:t>
            </w:r>
            <w:r w:rsidRPr="00B32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A26E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5.50-8.50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A26EC7" w:rsidRPr="00B32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26E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="00A26EC7">
              <w:rPr>
                <w:rFonts w:ascii="HelveticaLTStd-Cond" w:hAnsi="HelveticaLTStd-Cond" w:cs="HelveticaLTStd-Cond"/>
                <w:sz w:val="18"/>
                <w:szCs w:val="18"/>
              </w:rPr>
              <w:t xml:space="preserve"> </w:t>
            </w:r>
            <w:proofErr w:type="spellStart"/>
            <w:r w:rsidR="00A26EC7"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Default="00F2260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7F7863" w:rsidTr="00CD6BCD">
        <w:trPr>
          <w:gridAfter w:val="1"/>
          <w:wAfter w:w="1091" w:type="dxa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Leukocytes</w:t>
            </w:r>
          </w:p>
        </w:tc>
        <w:tc>
          <w:tcPr>
            <w:tcW w:w="2152" w:type="dxa"/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F7863" w:rsidTr="00CD6BCD">
        <w:trPr>
          <w:gridAfter w:val="1"/>
          <w:wAfter w:w="1091" w:type="dxa"/>
          <w:trHeight w:val="305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Neutrophils</w:t>
            </w:r>
            <w:proofErr w:type="spellEnd"/>
          </w:p>
        </w:tc>
        <w:tc>
          <w:tcPr>
            <w:tcW w:w="2152" w:type="dxa"/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23.68*10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225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Monocytes</w:t>
            </w:r>
            <w:proofErr w:type="spellEnd"/>
          </w:p>
        </w:tc>
        <w:tc>
          <w:tcPr>
            <w:tcW w:w="2152" w:type="dxa"/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2.538*10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7F7863" w:rsidRDefault="00190FDB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174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</w:p>
        </w:tc>
        <w:tc>
          <w:tcPr>
            <w:tcW w:w="2152" w:type="dxa"/>
          </w:tcPr>
          <w:p w:rsidR="007F7863" w:rsidRPr="00BC70E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BC70E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1-4.80*10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240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Platelates</w:t>
            </w:r>
            <w:proofErr w:type="spellEnd"/>
          </w:p>
        </w:tc>
        <w:tc>
          <w:tcPr>
            <w:tcW w:w="2152" w:type="dxa"/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Pr="000D7948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HelveticaLTStd-Cond" w:hAnsi="HelveticaLTStd-Cond" w:cs="HelveticaLTStd-Cond"/>
                <w:sz w:val="18"/>
                <w:szCs w:val="18"/>
              </w:rPr>
              <w:t>/</w:t>
            </w:r>
            <w:proofErr w:type="spellStart"/>
            <w:r>
              <w:rPr>
                <w:rFonts w:ascii="HelveticaLTStd-Cond" w:hAnsi="HelveticaLTStd-Cond" w:cs="HelveticaLTStd-Cond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7F7863" w:rsidRDefault="00CD7506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159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10.5g/dl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12-18g/dl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323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Hematocrit</w:t>
            </w:r>
            <w:proofErr w:type="spellEnd"/>
          </w:p>
        </w:tc>
        <w:tc>
          <w:tcPr>
            <w:tcW w:w="2152" w:type="dxa"/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7863">
              <w:rPr>
                <w:rFonts w:ascii="Times New Roman" w:hAnsi="Times New Roman" w:cs="Times New Roman"/>
                <w:sz w:val="24"/>
                <w:szCs w:val="24"/>
              </w:rPr>
              <w:t>.5%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36%-59%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7F7863" w:rsidRDefault="00190FDB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278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protein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5.1g/dl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5.2-7.3g/dl</w:t>
            </w:r>
          </w:p>
        </w:tc>
        <w:tc>
          <w:tcPr>
            <w:tcW w:w="696" w:type="dxa"/>
            <w:tcBorders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91" w:type="dxa"/>
          <w:trHeight w:val="390"/>
        </w:trPr>
        <w:tc>
          <w:tcPr>
            <w:tcW w:w="2375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2152" w:type="dxa"/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158mmol/L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146-154mmol/L</w:t>
            </w:r>
          </w:p>
        </w:tc>
        <w:tc>
          <w:tcPr>
            <w:tcW w:w="696" w:type="dxa"/>
            <w:tcBorders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375" w:type="dxa"/>
            <w:tcBorders>
              <w:top w:val="nil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</w:tcPr>
          <w:p w:rsidR="007F7863" w:rsidRDefault="005B7D59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A1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63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863" w:rsidRDefault="005B7D59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7863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15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091" w:type="dxa"/>
            <w:vMerge w:val="restart"/>
            <w:tcBorders>
              <w:top w:val="nil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0.40mg/dl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0-0.2mg/dl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B758D0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091" w:type="dxa"/>
            <w:vMerge/>
            <w:tcBorders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Thrombin time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6.7sec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3.7-10sec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091" w:type="dxa"/>
            <w:vMerge/>
            <w:tcBorders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Thyroxine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0.73-2.9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091" w:type="dxa"/>
            <w:vMerge/>
            <w:tcBorders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63" w:rsidTr="00CD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3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(baseline)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0.5-3</w:t>
            </w:r>
            <w:r w:rsidR="006179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bottom w:val="nil"/>
              <w:right w:val="nil"/>
            </w:tcBorders>
          </w:tcPr>
          <w:p w:rsidR="007F7863" w:rsidRDefault="007F7863" w:rsidP="00CD6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BF6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gramStart"/>
      <w:r>
        <w:rPr>
          <w:rFonts w:ascii="Times New Roman" w:hAnsi="Times New Roman" w:cs="Times New Roman"/>
          <w:sz w:val="24"/>
          <w:szCs w:val="24"/>
        </w:rPr>
        <w:t>:Merck’s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Veterinary Manual, 9</w:t>
      </w:r>
      <w:r w:rsidRPr="00E07B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(1998).</w:t>
      </w:r>
    </w:p>
    <w:p w:rsidR="00DB5244" w:rsidRDefault="00DB5244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B3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7F7863">
        <w:rPr>
          <w:rFonts w:ascii="Times New Roman" w:hAnsi="Times New Roman" w:cs="Times New Roman"/>
          <w:b/>
          <w:sz w:val="24"/>
          <w:szCs w:val="24"/>
        </w:rPr>
        <w:t>Preparation of dog for s</w:t>
      </w:r>
      <w:r w:rsidR="007F7863" w:rsidRPr="00682EF4">
        <w:rPr>
          <w:rFonts w:ascii="Times New Roman" w:hAnsi="Times New Roman" w:cs="Times New Roman"/>
          <w:b/>
          <w:sz w:val="24"/>
          <w:szCs w:val="24"/>
        </w:rPr>
        <w:t>urgery</w:t>
      </w:r>
    </w:p>
    <w:p w:rsidR="007F7863" w:rsidRPr="004B08F9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four-months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 Doberman dog was considered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feed</w:t>
      </w:r>
      <w:r w:rsidRPr="00B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intake of the</w:t>
      </w:r>
      <w:r w:rsidRPr="00B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dog’s was reduced for two days and completely stopped for 24hours before surgery. Clipping and shaving </w:t>
      </w:r>
      <w:r>
        <w:rPr>
          <w:rFonts w:ascii="Times New Roman" w:hAnsi="Times New Roman" w:cs="Times New Roman"/>
          <w:sz w:val="24"/>
          <w:szCs w:val="24"/>
        </w:rPr>
        <w:lastRenderedPageBreak/>
        <w:t>were performed on</w:t>
      </w:r>
      <w:r w:rsidRPr="00AC1FB8"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>ventral midline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C20">
        <w:rPr>
          <w:rFonts w:ascii="Times New Roman" w:hAnsi="Times New Roman" w:cs="Times New Roman"/>
          <w:sz w:val="24"/>
          <w:szCs w:val="24"/>
        </w:rPr>
        <w:t>celiotomy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standard procedure</w:t>
      </w:r>
      <w:r w:rsidRPr="00AC1FB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 w:rsidRPr="00EA60C0">
        <w:rPr>
          <w:rFonts w:ascii="Times New Roman" w:hAnsi="Times New Roman" w:cs="Times New Roman"/>
          <w:sz w:val="24"/>
          <w:szCs w:val="24"/>
        </w:rPr>
        <w:t>Fossum</w:t>
      </w:r>
      <w:proofErr w:type="spellEnd"/>
      <w:r w:rsidRPr="00EA60C0">
        <w:rPr>
          <w:rFonts w:ascii="Times New Roman" w:hAnsi="Times New Roman" w:cs="Times New Roman"/>
          <w:sz w:val="24"/>
          <w:szCs w:val="24"/>
        </w:rPr>
        <w:t xml:space="preserve"> </w:t>
      </w:r>
      <w:r w:rsidRPr="00EA60C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EA60C0">
        <w:rPr>
          <w:rFonts w:ascii="Times New Roman" w:hAnsi="Times New Roman" w:cs="Times New Roman"/>
          <w:sz w:val="24"/>
          <w:szCs w:val="24"/>
        </w:rPr>
        <w:t>., 2002).</w:t>
      </w:r>
      <w:r w:rsidR="00F2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surgical intervention for the dog was conducted on </w:t>
      </w:r>
      <w:proofErr w:type="spellStart"/>
      <w:proofErr w:type="gramStart"/>
      <w:r w:rsidR="00CD750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proofErr w:type="gramEnd"/>
      <w:r w:rsidR="00CD7506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 2012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Veterinary and Animal Sciences University (TANUVAS),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India. </w:t>
      </w:r>
    </w:p>
    <w:p w:rsidR="00EB6BF6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</w:t>
      </w:r>
      <w:proofErr w:type="spellStart"/>
      <w:r w:rsidR="007F7863" w:rsidRPr="00682EF4">
        <w:rPr>
          <w:rFonts w:ascii="Times New Roman" w:hAnsi="Times New Roman" w:cs="Times New Roman"/>
          <w:b/>
          <w:sz w:val="24"/>
          <w:szCs w:val="24"/>
        </w:rPr>
        <w:t>Anaesthetic</w:t>
      </w:r>
      <w:proofErr w:type="spellEnd"/>
      <w:r w:rsidR="007F7863" w:rsidRPr="00682EF4">
        <w:rPr>
          <w:rFonts w:ascii="Times New Roman" w:hAnsi="Times New Roman" w:cs="Times New Roman"/>
          <w:b/>
          <w:sz w:val="24"/>
          <w:szCs w:val="24"/>
        </w:rPr>
        <w:t xml:space="preserve"> protocol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Xylazine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hydrochloride (0.5mg/kg;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Xylaz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Farvet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Pharamaceuticals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, Paris, France) and atropine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(0.3mg/kg;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Atr</w:t>
      </w:r>
      <w:r>
        <w:rPr>
          <w:rFonts w:ascii="Times New Roman" w:hAnsi="Times New Roman" w:cs="Times New Roman"/>
          <w:sz w:val="24"/>
          <w:szCs w:val="24"/>
        </w:rPr>
        <w:t>osin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7AA" w:rsidRPr="00A477AA">
        <w:rPr>
          <w:rFonts w:ascii="Times New Roman" w:hAnsi="Times New Roman" w:cs="Times New Roman"/>
          <w:sz w:val="24"/>
          <w:szCs w:val="24"/>
        </w:rPr>
        <w:t xml:space="preserve"> </w:t>
      </w:r>
      <w:r w:rsidR="00A477AA" w:rsidRPr="008E2C20">
        <w:rPr>
          <w:rFonts w:ascii="Times New Roman" w:hAnsi="Times New Roman" w:cs="Times New Roman"/>
          <w:sz w:val="24"/>
          <w:szCs w:val="24"/>
        </w:rPr>
        <w:t>Abbot</w:t>
      </w:r>
      <w:r w:rsidR="00A477AA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Laboratories, India</w:t>
      </w:r>
      <w:r w:rsidRPr="008E2C20">
        <w:rPr>
          <w:rFonts w:ascii="Times New Roman" w:hAnsi="Times New Roman" w:cs="Times New Roman"/>
          <w:sz w:val="24"/>
          <w:szCs w:val="24"/>
        </w:rPr>
        <w:t xml:space="preserve">), were injected intramuscularly as a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preanesthetic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. Atropine helps to stabilize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bradycadia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patient caused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Xylazine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Moreover,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8E2C20">
        <w:rPr>
          <w:rFonts w:ascii="Times New Roman" w:hAnsi="Times New Roman" w:cs="Times New Roman"/>
          <w:sz w:val="24"/>
          <w:szCs w:val="24"/>
        </w:rPr>
        <w:t>ylazine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causes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hypersalivation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8E2C20">
        <w:rPr>
          <w:rFonts w:ascii="Times New Roman" w:hAnsi="Times New Roman" w:cs="Times New Roman"/>
          <w:sz w:val="24"/>
          <w:szCs w:val="24"/>
        </w:rPr>
        <w:t xml:space="preserve"> cont</w:t>
      </w:r>
      <w:r>
        <w:rPr>
          <w:rFonts w:ascii="Times New Roman" w:hAnsi="Times New Roman" w:cs="Times New Roman"/>
          <w:sz w:val="24"/>
          <w:szCs w:val="24"/>
        </w:rPr>
        <w:t>rolled by atropine sulfate.</w:t>
      </w:r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r w:rsidRPr="004B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63" w:rsidRPr="008E2C20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 w:rsidR="007F7863" w:rsidRPr="008E2C2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352B3" w:rsidRPr="008E2C20">
        <w:rPr>
          <w:rFonts w:ascii="Times New Roman" w:hAnsi="Times New Roman" w:cs="Times New Roman"/>
          <w:b/>
          <w:bCs/>
          <w:sz w:val="24"/>
          <w:szCs w:val="24"/>
        </w:rPr>
        <w:t>urgical rectification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2029460</wp:posOffset>
            </wp:positionV>
            <wp:extent cx="2926080" cy="2237740"/>
            <wp:effectExtent l="19050" t="0" r="7620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C20">
        <w:rPr>
          <w:rFonts w:ascii="Times New Roman" w:hAnsi="Times New Roman" w:cs="Times New Roman"/>
          <w:sz w:val="24"/>
          <w:szCs w:val="24"/>
        </w:rPr>
        <w:t>Surgical procedure was adopted to correct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Ileocolic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intussusceptions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dog. The dog</w:t>
      </w:r>
      <w:r w:rsidRPr="008E2C20">
        <w:rPr>
          <w:rFonts w:ascii="Times New Roman" w:hAnsi="Times New Roman" w:cs="Times New Roman"/>
          <w:sz w:val="24"/>
          <w:szCs w:val="24"/>
        </w:rPr>
        <w:t xml:space="preserve"> was positioned in dorsal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recumbancy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for ventral midline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celiotomy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and was prepared for aseptic surgery by scrubbing with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povidone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>-iodine (0.75% w/v) surgical scrub. Thiopental sodium (10mg/kg as 5% solution; Pentothal sodium, Abbot</w:t>
      </w:r>
      <w:r>
        <w:rPr>
          <w:rFonts w:ascii="Times New Roman" w:hAnsi="Times New Roman" w:cs="Times New Roman"/>
          <w:sz w:val="24"/>
          <w:szCs w:val="24"/>
        </w:rPr>
        <w:t>t Laboratories, India</w:t>
      </w:r>
      <w:r w:rsidRPr="008E2C20">
        <w:rPr>
          <w:rFonts w:ascii="Times New Roman" w:hAnsi="Times New Roman" w:cs="Times New Roman"/>
          <w:sz w:val="24"/>
          <w:szCs w:val="24"/>
        </w:rPr>
        <w:t>) was injected intravenously for general anesthesia. Intravenous line of</w:t>
      </w:r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dextrose </w:t>
      </w:r>
      <w:r w:rsidRPr="008E2C20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Pr="008E2C20">
        <w:rPr>
          <w:rFonts w:ascii="Times New Roman" w:hAnsi="Times New Roman" w:cs="Times New Roman"/>
          <w:sz w:val="24"/>
          <w:szCs w:val="24"/>
        </w:rPr>
        <w:t xml:space="preserve"> maintained during the whole operation. The peritoneal cavity was opened by giving an incision on skin, subcutaneous tissue,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C20">
        <w:rPr>
          <w:rFonts w:ascii="Times New Roman" w:hAnsi="Times New Roman" w:cs="Times New Roman"/>
          <w:sz w:val="24"/>
          <w:szCs w:val="24"/>
        </w:rPr>
        <w:t>alba</w:t>
      </w:r>
      <w:proofErr w:type="gramEnd"/>
      <w:r w:rsidRPr="008E2C20">
        <w:rPr>
          <w:rFonts w:ascii="Times New Roman" w:hAnsi="Times New Roman" w:cs="Times New Roman"/>
          <w:sz w:val="24"/>
          <w:szCs w:val="24"/>
        </w:rPr>
        <w:t xml:space="preserve"> and the peritoneum.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was found to be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ile</w:t>
      </w:r>
      <w:r w:rsidR="009E5BE2">
        <w:rPr>
          <w:rFonts w:ascii="Times New Roman" w:hAnsi="Times New Roman" w:cs="Times New Roman"/>
          <w:sz w:val="24"/>
          <w:szCs w:val="24"/>
        </w:rPr>
        <w:t>ocolic</w:t>
      </w:r>
      <w:proofErr w:type="spellEnd"/>
      <w:r w:rsidR="009E5BE2">
        <w:rPr>
          <w:rFonts w:ascii="Times New Roman" w:hAnsi="Times New Roman" w:cs="Times New Roman"/>
          <w:sz w:val="24"/>
          <w:szCs w:val="24"/>
        </w:rPr>
        <w:t>, on exploration (Figure 10</w:t>
      </w:r>
      <w:r w:rsidRPr="008E2C20">
        <w:rPr>
          <w:rFonts w:ascii="Times New Roman" w:hAnsi="Times New Roman" w:cs="Times New Roman"/>
          <w:sz w:val="24"/>
          <w:szCs w:val="24"/>
        </w:rPr>
        <w:t>).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tabs>
          <w:tab w:val="left" w:pos="77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6F42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3" w:rsidRPr="002E04B2" w:rsidRDefault="009E5BE2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10</w:t>
      </w:r>
      <w:r w:rsidR="007F7863" w:rsidRPr="002E04B2">
        <w:rPr>
          <w:rFonts w:ascii="Times New Roman" w:hAnsi="Times New Roman" w:cs="Times New Roman"/>
          <w:sz w:val="24"/>
          <w:szCs w:val="24"/>
        </w:rPr>
        <w:t xml:space="preserve">: An intra-operative view of an </w:t>
      </w:r>
      <w:proofErr w:type="spellStart"/>
      <w:r w:rsidR="007F7863" w:rsidRPr="002E04B2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="007F7863" w:rsidRPr="002E04B2">
        <w:rPr>
          <w:rFonts w:ascii="Times New Roman" w:hAnsi="Times New Roman" w:cs="Times New Roman"/>
          <w:sz w:val="24"/>
          <w:szCs w:val="24"/>
        </w:rPr>
        <w:t xml:space="preserve"> Notice that one section of the small intestine</w:t>
      </w:r>
      <w:r w:rsidR="007F7863">
        <w:rPr>
          <w:rFonts w:ascii="Times New Roman" w:hAnsi="Times New Roman" w:cs="Times New Roman"/>
          <w:sz w:val="24"/>
          <w:szCs w:val="24"/>
        </w:rPr>
        <w:t xml:space="preserve"> (ileum)</w:t>
      </w:r>
      <w:r w:rsidR="007F7863" w:rsidRPr="002E04B2">
        <w:rPr>
          <w:rFonts w:ascii="Times New Roman" w:hAnsi="Times New Roman" w:cs="Times New Roman"/>
          <w:sz w:val="24"/>
          <w:szCs w:val="24"/>
        </w:rPr>
        <w:t xml:space="preserve"> has telescoped into the adjoining section</w:t>
      </w:r>
      <w:r w:rsidR="007F7863">
        <w:rPr>
          <w:rFonts w:ascii="Times New Roman" w:hAnsi="Times New Roman" w:cs="Times New Roman"/>
          <w:sz w:val="24"/>
          <w:szCs w:val="24"/>
        </w:rPr>
        <w:t xml:space="preserve"> (colon)</w:t>
      </w:r>
      <w:r w:rsidR="007F7863" w:rsidRPr="002E04B2">
        <w:rPr>
          <w:rFonts w:ascii="Times New Roman" w:hAnsi="Times New Roman" w:cs="Times New Roman"/>
          <w:sz w:val="24"/>
          <w:szCs w:val="24"/>
        </w:rPr>
        <w:t>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20">
        <w:rPr>
          <w:rFonts w:ascii="Times New Roman" w:hAnsi="Times New Roman" w:cs="Times New Roman"/>
          <w:sz w:val="24"/>
          <w:szCs w:val="24"/>
        </w:rPr>
        <w:lastRenderedPageBreak/>
        <w:t xml:space="preserve"> A gentle traction was applied to reduce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the tissues were devitalized </w:t>
      </w:r>
      <w:r>
        <w:rPr>
          <w:rFonts w:ascii="Times New Roman" w:hAnsi="Times New Roman" w:cs="Times New Roman"/>
          <w:sz w:val="24"/>
          <w:szCs w:val="24"/>
        </w:rPr>
        <w:t>in the adjoining section of the small intestine(ileum) has telescoped into the adjoining section(colon).</w:t>
      </w:r>
      <w:r w:rsidRPr="008E2C20">
        <w:rPr>
          <w:rFonts w:ascii="Times New Roman" w:hAnsi="Times New Roman" w:cs="Times New Roman"/>
          <w:sz w:val="24"/>
          <w:szCs w:val="24"/>
        </w:rPr>
        <w:t xml:space="preserve">The affected parts were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resected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and end-to-end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of remaining intestinal components was carried out.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Atraumatic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clamps were applied on the proximal and 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20">
        <w:rPr>
          <w:rFonts w:ascii="Times New Roman" w:hAnsi="Times New Roman" w:cs="Times New Roman"/>
          <w:sz w:val="24"/>
          <w:szCs w:val="24"/>
        </w:rPr>
        <w:t>distal</w:t>
      </w:r>
      <w:proofErr w:type="gramEnd"/>
      <w:r w:rsidRPr="008E2C20">
        <w:rPr>
          <w:rFonts w:ascii="Times New Roman" w:hAnsi="Times New Roman" w:cs="Times New Roman"/>
          <w:sz w:val="24"/>
          <w:szCs w:val="24"/>
        </w:rPr>
        <w:t xml:space="preserve"> ends of the affected parts, before resection.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resected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part of intestine was about 6 inches long.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atraumatic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clamps were brought closer to each other with both ends of intestinal parts. The end to end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was performed by applying crushing suturing pattern using a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olyglactin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910 (</w:t>
      </w:r>
      <w:proofErr w:type="spellStart"/>
      <w:r>
        <w:rPr>
          <w:rFonts w:ascii="Times New Roman" w:hAnsi="Times New Roman" w:cs="Times New Roman"/>
          <w:sz w:val="24"/>
          <w:szCs w:val="24"/>
        </w:rPr>
        <w:t>Vicryl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-Johnson and Johnson, New Brunswick, </w:t>
      </w:r>
      <w:r w:rsidRPr="008E2C20">
        <w:rPr>
          <w:rFonts w:ascii="Times New Roman" w:hAnsi="Times New Roman" w:cs="Times New Roman"/>
          <w:sz w:val="24"/>
          <w:szCs w:val="24"/>
        </w:rPr>
        <w:t xml:space="preserve">U.S.A.) </w:t>
      </w:r>
      <w:proofErr w:type="gramStart"/>
      <w:r w:rsidRPr="008E2C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Erkert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8E2C20">
        <w:rPr>
          <w:rFonts w:ascii="Times New Roman" w:hAnsi="Times New Roman" w:cs="Times New Roman"/>
          <w:sz w:val="24"/>
          <w:szCs w:val="24"/>
        </w:rPr>
        <w:t>., 2003).</w:t>
      </w:r>
      <w:proofErr w:type="gramEnd"/>
      <w:r w:rsidRPr="008E2C20">
        <w:rPr>
          <w:rFonts w:ascii="Times New Roman" w:hAnsi="Times New Roman" w:cs="Times New Roman"/>
          <w:sz w:val="24"/>
          <w:szCs w:val="24"/>
        </w:rPr>
        <w:t xml:space="preserve"> The intestine was reduced back into the abdomen.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abdomen was closed in three layers i.e.,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C20">
        <w:rPr>
          <w:rFonts w:ascii="Times New Roman" w:hAnsi="Times New Roman" w:cs="Times New Roman"/>
          <w:sz w:val="24"/>
          <w:szCs w:val="24"/>
        </w:rPr>
        <w:t>alba</w:t>
      </w:r>
      <w:proofErr w:type="gramEnd"/>
      <w:r w:rsidRPr="008E2C20">
        <w:rPr>
          <w:rFonts w:ascii="Times New Roman" w:hAnsi="Times New Roman" w:cs="Times New Roman"/>
          <w:sz w:val="24"/>
          <w:szCs w:val="24"/>
        </w:rPr>
        <w:t xml:space="preserve">, subcutaneous tissue and the skin. The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alba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closed with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Vicryl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(Johnson</w:t>
      </w:r>
      <w:r>
        <w:rPr>
          <w:rFonts w:ascii="Times New Roman" w:hAnsi="Times New Roman" w:cs="Times New Roman"/>
          <w:sz w:val="24"/>
          <w:szCs w:val="24"/>
        </w:rPr>
        <w:t xml:space="preserve"> and Johnson,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Brunswick,</w:t>
      </w:r>
      <w:r w:rsidRPr="008E2C20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>) using simple interrupted suturing pattern, (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C20">
        <w:rPr>
          <w:rFonts w:ascii="Times New Roman" w:hAnsi="Times New Roman" w:cs="Times New Roman"/>
          <w:sz w:val="24"/>
          <w:szCs w:val="24"/>
        </w:rPr>
        <w:t>Hontanilla</w:t>
      </w:r>
      <w:proofErr w:type="spellEnd"/>
      <w:r w:rsidRPr="008E2C20">
        <w:rPr>
          <w:rFonts w:ascii="Times New Roman" w:hAnsi="Times New Roman" w:cs="Times New Roman"/>
          <w:sz w:val="24"/>
          <w:szCs w:val="24"/>
        </w:rPr>
        <w:t xml:space="preserve">, 1999), while subcutaneous layer was closed by simple continuous suturing pattern with the help of chromic catgut No. 1 (Tan </w:t>
      </w:r>
      <w:r w:rsidRPr="008E2C2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8E2C20">
        <w:rPr>
          <w:rFonts w:ascii="Times New Roman" w:hAnsi="Times New Roman" w:cs="Times New Roman"/>
          <w:sz w:val="24"/>
          <w:szCs w:val="24"/>
        </w:rPr>
        <w:t xml:space="preserve">., 2008). On the skin </w:t>
      </w:r>
      <w:r w:rsidRPr="004B08F9">
        <w:rPr>
          <w:rFonts w:ascii="Times New Roman" w:hAnsi="Times New Roman" w:cs="Times New Roman"/>
          <w:sz w:val="24"/>
          <w:szCs w:val="24"/>
        </w:rPr>
        <w:t>simple interrupted sutures were applied by using a non-absorbable suture material, Braided Silk No. 2/0 (</w:t>
      </w:r>
      <w:proofErr w:type="spellStart"/>
      <w:r w:rsidRPr="004B08F9">
        <w:rPr>
          <w:rFonts w:ascii="Times New Roman" w:hAnsi="Times New Roman" w:cs="Times New Roman"/>
          <w:sz w:val="24"/>
          <w:szCs w:val="24"/>
        </w:rPr>
        <w:t>Mersilk</w:t>
      </w:r>
      <w:proofErr w:type="spellEnd"/>
      <w:r w:rsidRPr="004B08F9">
        <w:rPr>
          <w:rFonts w:ascii="Times New Roman" w:hAnsi="Times New Roman" w:cs="Times New Roman"/>
          <w:sz w:val="24"/>
          <w:szCs w:val="24"/>
        </w:rPr>
        <w:t>, Johnson</w:t>
      </w:r>
      <w:r>
        <w:rPr>
          <w:rFonts w:ascii="Times New Roman" w:hAnsi="Times New Roman" w:cs="Times New Roman"/>
          <w:sz w:val="24"/>
          <w:szCs w:val="24"/>
        </w:rPr>
        <w:t xml:space="preserve"> &amp; Johnson, New Brunswick,</w:t>
      </w:r>
      <w:r w:rsidRPr="004B08F9">
        <w:rPr>
          <w:rFonts w:ascii="Times New Roman" w:hAnsi="Times New Roman" w:cs="Times New Roman"/>
          <w:sz w:val="24"/>
          <w:szCs w:val="24"/>
        </w:rPr>
        <w:t xml:space="preserve"> U.S.A.)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B3" w:rsidRDefault="006179F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 </w:t>
      </w:r>
      <w:r w:rsidR="007F7863" w:rsidRPr="0088496B">
        <w:rPr>
          <w:rFonts w:ascii="Times New Roman" w:hAnsi="Times New Roman" w:cs="Times New Roman"/>
          <w:b/>
          <w:sz w:val="24"/>
          <w:szCs w:val="24"/>
        </w:rPr>
        <w:t>Follow up of the patient</w:t>
      </w:r>
      <w:r w:rsidR="007F7863">
        <w:rPr>
          <w:rFonts w:ascii="Times New Roman" w:hAnsi="Times New Roman" w:cs="Times New Roman"/>
          <w:sz w:val="24"/>
          <w:szCs w:val="24"/>
        </w:rPr>
        <w:t>:</w:t>
      </w:r>
    </w:p>
    <w:p w:rsidR="007F7863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surgery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 of patient was provided under close observation in hospital by active participation and mobile phoning</w:t>
      </w:r>
      <w:r w:rsidR="001427CA">
        <w:rPr>
          <w:rFonts w:ascii="Times New Roman" w:hAnsi="Times New Roman" w:cs="Times New Roman"/>
          <w:sz w:val="24"/>
          <w:szCs w:val="24"/>
        </w:rPr>
        <w:t xml:space="preserve"> during on October month,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63" w:rsidRPr="004B08F9" w:rsidRDefault="007F7863" w:rsidP="007F7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99" w:rsidRDefault="00D67699"/>
    <w:sectPr w:rsidR="00D67699" w:rsidSect="007F7863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CE" w:rsidRDefault="002C3ACE" w:rsidP="007F7863">
      <w:pPr>
        <w:spacing w:after="0" w:line="240" w:lineRule="auto"/>
      </w:pPr>
      <w:r>
        <w:separator/>
      </w:r>
    </w:p>
  </w:endnote>
  <w:endnote w:type="continuationSeparator" w:id="1">
    <w:p w:rsidR="002C3ACE" w:rsidRDefault="002C3ACE" w:rsidP="007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3" w:rsidRPr="007F7863" w:rsidRDefault="007F78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F7863">
      <w:rPr>
        <w:rFonts w:asciiTheme="majorHAnsi" w:hAnsiTheme="majorHAnsi"/>
      </w:rPr>
      <w:t>June, 2013</w:t>
    </w:r>
    <w:r w:rsidRPr="007F7863">
      <w:rPr>
        <w:rFonts w:asciiTheme="majorHAnsi" w:hAnsiTheme="majorHAnsi"/>
      </w:rPr>
      <w:ptab w:relativeTo="margin" w:alignment="right" w:leader="none"/>
    </w:r>
    <w:r w:rsidRPr="007F7863">
      <w:rPr>
        <w:rFonts w:asciiTheme="majorHAnsi" w:hAnsiTheme="majorHAnsi"/>
      </w:rPr>
      <w:t xml:space="preserve">Page </w:t>
    </w:r>
    <w:fldSimple w:instr=" PAGE   \* MERGEFORMAT ">
      <w:r w:rsidR="00190FDB" w:rsidRPr="00190FDB">
        <w:rPr>
          <w:rFonts w:asciiTheme="majorHAnsi" w:hAnsiTheme="majorHAnsi"/>
          <w:noProof/>
        </w:rPr>
        <w:t>16</w:t>
      </w:r>
    </w:fldSimple>
  </w:p>
  <w:p w:rsidR="007F7863" w:rsidRPr="007F7863" w:rsidRDefault="007F7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CE" w:rsidRDefault="002C3ACE" w:rsidP="007F7863">
      <w:pPr>
        <w:spacing w:after="0" w:line="240" w:lineRule="auto"/>
      </w:pPr>
      <w:r>
        <w:separator/>
      </w:r>
    </w:p>
  </w:footnote>
  <w:footnote w:type="continuationSeparator" w:id="1">
    <w:p w:rsidR="002C3ACE" w:rsidRDefault="002C3ACE" w:rsidP="007F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3" w:rsidRPr="007F7863" w:rsidRDefault="007F786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</w:p>
  <w:p w:rsidR="007F7863" w:rsidRPr="007F7863" w:rsidRDefault="007F786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sz w:val="28"/>
        <w:szCs w:val="28"/>
      </w:rPr>
    </w:pPr>
  </w:p>
  <w:sdt>
    <w:sdtPr>
      <w:rPr>
        <w:sz w:val="28"/>
        <w:szCs w:val="28"/>
      </w:rPr>
      <w:alias w:val="Author"/>
      <w:id w:val="77887908"/>
      <w:placeholder>
        <w:docPart w:val="145F1CF846D14392985DF89EB334574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F7863" w:rsidRPr="007F7863" w:rsidRDefault="007F786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 METHODOLOGY</w:t>
        </w:r>
      </w:p>
    </w:sdtContent>
  </w:sdt>
  <w:p w:rsidR="007F7863" w:rsidRPr="007F7863" w:rsidRDefault="007F7863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63"/>
    <w:rsid w:val="000233E9"/>
    <w:rsid w:val="000472E1"/>
    <w:rsid w:val="000F3B02"/>
    <w:rsid w:val="001427CA"/>
    <w:rsid w:val="00156F04"/>
    <w:rsid w:val="00190FDB"/>
    <w:rsid w:val="002135C8"/>
    <w:rsid w:val="00223AF3"/>
    <w:rsid w:val="0023153E"/>
    <w:rsid w:val="00260139"/>
    <w:rsid w:val="002C3ACE"/>
    <w:rsid w:val="002F0C06"/>
    <w:rsid w:val="00332CF0"/>
    <w:rsid w:val="003B0650"/>
    <w:rsid w:val="004122A1"/>
    <w:rsid w:val="00475977"/>
    <w:rsid w:val="00485ECF"/>
    <w:rsid w:val="004F7BEB"/>
    <w:rsid w:val="0056497F"/>
    <w:rsid w:val="0056617A"/>
    <w:rsid w:val="00590AE0"/>
    <w:rsid w:val="0059799F"/>
    <w:rsid w:val="005B7D59"/>
    <w:rsid w:val="005E4C12"/>
    <w:rsid w:val="006179F3"/>
    <w:rsid w:val="00617DF0"/>
    <w:rsid w:val="006255A6"/>
    <w:rsid w:val="00686A7D"/>
    <w:rsid w:val="00687467"/>
    <w:rsid w:val="006F447B"/>
    <w:rsid w:val="00733C41"/>
    <w:rsid w:val="007F7863"/>
    <w:rsid w:val="00801D8D"/>
    <w:rsid w:val="008274ED"/>
    <w:rsid w:val="008424E6"/>
    <w:rsid w:val="008575FD"/>
    <w:rsid w:val="0086112F"/>
    <w:rsid w:val="009265A4"/>
    <w:rsid w:val="00983CF6"/>
    <w:rsid w:val="009E5BE2"/>
    <w:rsid w:val="00A059DD"/>
    <w:rsid w:val="00A062DB"/>
    <w:rsid w:val="00A26EC7"/>
    <w:rsid w:val="00A352B3"/>
    <w:rsid w:val="00A477AA"/>
    <w:rsid w:val="00A6140F"/>
    <w:rsid w:val="00AA11D2"/>
    <w:rsid w:val="00AA1C9D"/>
    <w:rsid w:val="00B758D0"/>
    <w:rsid w:val="00BD117C"/>
    <w:rsid w:val="00BE6C98"/>
    <w:rsid w:val="00C33BC5"/>
    <w:rsid w:val="00CD7506"/>
    <w:rsid w:val="00D32954"/>
    <w:rsid w:val="00D67699"/>
    <w:rsid w:val="00DB5244"/>
    <w:rsid w:val="00E90EB7"/>
    <w:rsid w:val="00E91EFE"/>
    <w:rsid w:val="00E977A3"/>
    <w:rsid w:val="00EB6BF6"/>
    <w:rsid w:val="00F22600"/>
    <w:rsid w:val="00F565E3"/>
    <w:rsid w:val="00F9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78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6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6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5F1CF846D14392985DF89EB334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D0C-E872-4C88-BC60-5F9053159355}"/>
      </w:docPartPr>
      <w:docPartBody>
        <w:p w:rsidR="00112765" w:rsidRDefault="00315696" w:rsidP="00315696">
          <w:pPr>
            <w:pStyle w:val="145F1CF846D14392985DF89EB334574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5696"/>
    <w:rsid w:val="00034A45"/>
    <w:rsid w:val="00067E42"/>
    <w:rsid w:val="000C3C1D"/>
    <w:rsid w:val="00112765"/>
    <w:rsid w:val="001A512E"/>
    <w:rsid w:val="00267E74"/>
    <w:rsid w:val="002A6994"/>
    <w:rsid w:val="00315696"/>
    <w:rsid w:val="00392C10"/>
    <w:rsid w:val="00507FC8"/>
    <w:rsid w:val="00564608"/>
    <w:rsid w:val="00793C88"/>
    <w:rsid w:val="009579EB"/>
    <w:rsid w:val="00966606"/>
    <w:rsid w:val="00AF0B99"/>
    <w:rsid w:val="00B563FD"/>
    <w:rsid w:val="00C0299C"/>
    <w:rsid w:val="00CB5BA3"/>
    <w:rsid w:val="00CC779F"/>
    <w:rsid w:val="00EC3643"/>
    <w:rsid w:val="00F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E46CC09E66488C85CAEF02F92F2554">
    <w:name w:val="BBE46CC09E66488C85CAEF02F92F2554"/>
    <w:rsid w:val="00315696"/>
  </w:style>
  <w:style w:type="paragraph" w:customStyle="1" w:styleId="F9A8EC3B6AB34C25971CE57C1251F9EF">
    <w:name w:val="F9A8EC3B6AB34C25971CE57C1251F9EF"/>
    <w:rsid w:val="00315696"/>
  </w:style>
  <w:style w:type="paragraph" w:customStyle="1" w:styleId="145F1CF846D14392985DF89EB3345740">
    <w:name w:val="145F1CF846D14392985DF89EB3345740"/>
    <w:rsid w:val="00315696"/>
  </w:style>
  <w:style w:type="paragraph" w:customStyle="1" w:styleId="D4F9DA7E74AF47BAA46F81ED61AA037D">
    <w:name w:val="D4F9DA7E74AF47BAA46F81ED61AA037D"/>
    <w:rsid w:val="003156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82B4-9839-4117-90E8-9D3408D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METHODOLOGY</dc:creator>
  <cp:lastModifiedBy>DELL</cp:lastModifiedBy>
  <cp:revision>24</cp:revision>
  <dcterms:created xsi:type="dcterms:W3CDTF">2013-06-07T15:55:00Z</dcterms:created>
  <dcterms:modified xsi:type="dcterms:W3CDTF">2013-06-12T08:23:00Z</dcterms:modified>
</cp:coreProperties>
</file>