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5F" w:rsidRDefault="0075165F" w:rsidP="0075165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165F" w:rsidRPr="0002763E" w:rsidRDefault="0075165F" w:rsidP="0075165F">
      <w:pPr>
        <w:widowControl w:val="0"/>
        <w:autoSpaceDE w:val="0"/>
        <w:autoSpaceDN w:val="0"/>
        <w:adjustRightInd w:val="0"/>
        <w:ind w:left="3360"/>
        <w:rPr>
          <w:b/>
          <w:sz w:val="28"/>
          <w:szCs w:val="28"/>
        </w:rPr>
      </w:pPr>
      <w:r w:rsidRPr="0002763E">
        <w:rPr>
          <w:b/>
          <w:bCs/>
          <w:sz w:val="28"/>
          <w:szCs w:val="28"/>
        </w:rPr>
        <w:t>CHAPTER-IV</w:t>
      </w:r>
    </w:p>
    <w:p w:rsidR="0075165F" w:rsidRPr="00C62793" w:rsidRDefault="0075165F" w:rsidP="0075165F">
      <w:pPr>
        <w:widowControl w:val="0"/>
        <w:autoSpaceDE w:val="0"/>
        <w:autoSpaceDN w:val="0"/>
        <w:adjustRightInd w:val="0"/>
        <w:spacing w:line="302" w:lineRule="exact"/>
        <w:rPr>
          <w:b/>
        </w:rPr>
      </w:pPr>
    </w:p>
    <w:p w:rsidR="0075165F" w:rsidRPr="00C62793" w:rsidRDefault="0075165F" w:rsidP="0075165F">
      <w:pPr>
        <w:widowControl w:val="0"/>
        <w:autoSpaceDE w:val="0"/>
        <w:autoSpaceDN w:val="0"/>
        <w:adjustRightInd w:val="0"/>
        <w:ind w:left="3500"/>
        <w:rPr>
          <w:rFonts w:asciiTheme="majorHAnsi" w:hAnsiTheme="majorHAnsi"/>
          <w:b/>
          <w:sz w:val="32"/>
          <w:szCs w:val="32"/>
        </w:rPr>
      </w:pPr>
      <w:r w:rsidRPr="00C62793">
        <w:rPr>
          <w:rFonts w:asciiTheme="majorHAnsi" w:hAnsiTheme="majorHAnsi" w:cs="Times"/>
          <w:b/>
          <w:bCs/>
          <w:sz w:val="32"/>
          <w:szCs w:val="32"/>
        </w:rPr>
        <w:t>RESULTS</w:t>
      </w:r>
    </w:p>
    <w:p w:rsidR="0075165F" w:rsidRDefault="0075165F" w:rsidP="0075165F">
      <w:pPr>
        <w:widowControl w:val="0"/>
        <w:autoSpaceDE w:val="0"/>
        <w:autoSpaceDN w:val="0"/>
        <w:adjustRightInd w:val="0"/>
        <w:ind w:left="120"/>
        <w:rPr>
          <w:rFonts w:ascii="Times" w:hAnsi="Times" w:cs="Times"/>
          <w:b/>
          <w:bCs/>
          <w:sz w:val="26"/>
          <w:szCs w:val="26"/>
        </w:rPr>
      </w:pPr>
    </w:p>
    <w:p w:rsidR="0075165F" w:rsidRPr="0002763E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4.1 </w:t>
      </w:r>
      <w:r w:rsidRPr="0002763E">
        <w:rPr>
          <w:b/>
          <w:bCs/>
          <w:sz w:val="26"/>
          <w:szCs w:val="26"/>
        </w:rPr>
        <w:t>Prevale</w:t>
      </w:r>
      <w:r>
        <w:rPr>
          <w:b/>
          <w:bCs/>
          <w:sz w:val="26"/>
          <w:szCs w:val="26"/>
        </w:rPr>
        <w:t xml:space="preserve">nce of </w:t>
      </w:r>
      <w:r w:rsidRPr="0002763E">
        <w:rPr>
          <w:b/>
          <w:bCs/>
          <w:sz w:val="26"/>
          <w:szCs w:val="26"/>
        </w:rPr>
        <w:t>gastro</w:t>
      </w:r>
      <w:r>
        <w:rPr>
          <w:b/>
          <w:bCs/>
          <w:sz w:val="26"/>
          <w:szCs w:val="26"/>
        </w:rPr>
        <w:t xml:space="preserve"> intestinal parasitic </w:t>
      </w:r>
      <w:r w:rsidRPr="0002763E">
        <w:rPr>
          <w:b/>
          <w:bCs/>
          <w:sz w:val="26"/>
          <w:szCs w:val="26"/>
        </w:rPr>
        <w:t>infections</w:t>
      </w:r>
    </w:p>
    <w:p w:rsidR="0075165F" w:rsidRPr="00C05EEC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22"/>
          <w:szCs w:val="22"/>
        </w:rPr>
      </w:pPr>
      <w:r w:rsidRPr="00C05EEC">
        <w:rPr>
          <w:b/>
          <w:bCs/>
          <w:i/>
          <w:sz w:val="22"/>
          <w:szCs w:val="22"/>
        </w:rPr>
        <w:t>4.1.1 Overall prevalence of gastro intestinal parasitic infections</w:t>
      </w:r>
    </w:p>
    <w:p w:rsidR="0075165F" w:rsidRDefault="0075165F" w:rsidP="00C05EE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62793">
        <w:rPr>
          <w:bCs/>
        </w:rPr>
        <w:t>During the current investigation, an approach was taken to determine th</w:t>
      </w:r>
      <w:r>
        <w:rPr>
          <w:bCs/>
        </w:rPr>
        <w:t xml:space="preserve">e status of </w:t>
      </w:r>
      <w:r w:rsidRPr="00C62793">
        <w:rPr>
          <w:bCs/>
        </w:rPr>
        <w:t>gastro</w:t>
      </w:r>
      <w:r>
        <w:rPr>
          <w:bCs/>
        </w:rPr>
        <w:t xml:space="preserve"> </w:t>
      </w:r>
      <w:r w:rsidRPr="00C62793">
        <w:rPr>
          <w:bCs/>
        </w:rPr>
        <w:t xml:space="preserve">intestinal parasitic infections in crossbred cattle. It was revealed </w:t>
      </w:r>
      <w:r>
        <w:rPr>
          <w:bCs/>
        </w:rPr>
        <w:t xml:space="preserve">that, 2 Protozoa and </w:t>
      </w:r>
      <w:r w:rsidRPr="00C62793">
        <w:rPr>
          <w:bCs/>
        </w:rPr>
        <w:t xml:space="preserve">8 helminthes species as 1 Cestodes, 1 Trematodes and 6 species of Nematodes </w:t>
      </w:r>
      <w:r>
        <w:rPr>
          <w:bCs/>
        </w:rPr>
        <w:t xml:space="preserve">are present </w:t>
      </w:r>
      <w:r w:rsidRPr="00C62793">
        <w:rPr>
          <w:bCs/>
        </w:rPr>
        <w:t>in cattle population</w:t>
      </w:r>
      <w:r>
        <w:rPr>
          <w:bCs/>
        </w:rPr>
        <w:t xml:space="preserve"> in the study area</w:t>
      </w:r>
      <w:r w:rsidRPr="00C62793">
        <w:rPr>
          <w:bCs/>
        </w:rPr>
        <w:t>.</w:t>
      </w:r>
      <w:r>
        <w:rPr>
          <w:bCs/>
        </w:rPr>
        <w:t xml:space="preserve"> In this present study highest p</w:t>
      </w:r>
      <w:r w:rsidRPr="00C62793">
        <w:rPr>
          <w:bCs/>
        </w:rPr>
        <w:t xml:space="preserve">revalence </w:t>
      </w:r>
      <w:r>
        <w:rPr>
          <w:bCs/>
        </w:rPr>
        <w:t xml:space="preserve">was recorded for </w:t>
      </w:r>
      <w:r w:rsidRPr="00C62793">
        <w:rPr>
          <w:bCs/>
          <w:i/>
        </w:rPr>
        <w:t>Balantidium coli</w:t>
      </w:r>
      <w:r>
        <w:rPr>
          <w:bCs/>
        </w:rPr>
        <w:t xml:space="preserve"> </w:t>
      </w:r>
      <w:r w:rsidRPr="00C62793">
        <w:rPr>
          <w:bCs/>
        </w:rPr>
        <w:t xml:space="preserve">(cyst) </w:t>
      </w:r>
      <w:r>
        <w:rPr>
          <w:bCs/>
        </w:rPr>
        <w:t>infection (</w:t>
      </w:r>
      <w:r w:rsidRPr="00C62793">
        <w:rPr>
          <w:bCs/>
        </w:rPr>
        <w:t>28%</w:t>
      </w:r>
      <w:r>
        <w:rPr>
          <w:bCs/>
        </w:rPr>
        <w:t>)</w:t>
      </w:r>
      <w:r w:rsidRPr="00C62793">
        <w:rPr>
          <w:bCs/>
        </w:rPr>
        <w:t>;</w:t>
      </w:r>
      <w:r>
        <w:rPr>
          <w:bCs/>
        </w:rPr>
        <w:t xml:space="preserve"> </w:t>
      </w:r>
      <w:r w:rsidRPr="00C62793">
        <w:rPr>
          <w:bCs/>
        </w:rPr>
        <w:t xml:space="preserve"> </w:t>
      </w:r>
      <w:r>
        <w:t xml:space="preserve">followed by </w:t>
      </w:r>
      <w:r w:rsidRPr="00A07856">
        <w:rPr>
          <w:bCs/>
          <w:i/>
        </w:rPr>
        <w:t>Moneizia spp</w:t>
      </w:r>
      <w:r>
        <w:rPr>
          <w:bCs/>
          <w:i/>
        </w:rPr>
        <w:t xml:space="preserve"> </w:t>
      </w:r>
      <w:r w:rsidRPr="00C62793">
        <w:rPr>
          <w:bCs/>
        </w:rPr>
        <w:t>(22%);</w:t>
      </w:r>
      <w:r>
        <w:rPr>
          <w:bCs/>
        </w:rPr>
        <w:t xml:space="preserve"> </w:t>
      </w:r>
      <w:r>
        <w:rPr>
          <w:bCs/>
          <w:i/>
        </w:rPr>
        <w:t xml:space="preserve">Balantidium </w:t>
      </w:r>
      <w:r w:rsidRPr="00C62793">
        <w:rPr>
          <w:bCs/>
          <w:i/>
        </w:rPr>
        <w:t>coli</w:t>
      </w:r>
      <w:r>
        <w:rPr>
          <w:bCs/>
          <w:i/>
        </w:rPr>
        <w:t xml:space="preserve"> </w:t>
      </w:r>
      <w:r w:rsidRPr="00C62793">
        <w:rPr>
          <w:bCs/>
        </w:rPr>
        <w:t>Trophozoite</w:t>
      </w:r>
      <w:r>
        <w:rPr>
          <w:bCs/>
        </w:rPr>
        <w:t xml:space="preserve"> </w:t>
      </w:r>
      <w:r w:rsidRPr="00C62793">
        <w:rPr>
          <w:bCs/>
        </w:rPr>
        <w:t>(20%);</w:t>
      </w:r>
      <w:r>
        <w:rPr>
          <w:bCs/>
        </w:rPr>
        <w:t xml:space="preserve"> </w:t>
      </w:r>
      <w:r w:rsidRPr="00C62793">
        <w:rPr>
          <w:bCs/>
          <w:i/>
        </w:rPr>
        <w:t>Toxocara</w:t>
      </w:r>
      <w:r>
        <w:rPr>
          <w:bCs/>
          <w:i/>
        </w:rPr>
        <w:t xml:space="preserve"> </w:t>
      </w:r>
      <w:r w:rsidRPr="00C62793">
        <w:rPr>
          <w:bCs/>
          <w:i/>
        </w:rPr>
        <w:t>spp</w:t>
      </w:r>
      <w:r>
        <w:rPr>
          <w:bCs/>
          <w:i/>
        </w:rPr>
        <w:t xml:space="preserve"> </w:t>
      </w:r>
      <w:r w:rsidRPr="00C62793">
        <w:rPr>
          <w:bCs/>
        </w:rPr>
        <w:t>(19%);</w:t>
      </w:r>
      <w:r>
        <w:rPr>
          <w:bCs/>
        </w:rPr>
        <w:t xml:space="preserve"> </w:t>
      </w:r>
      <w:r>
        <w:rPr>
          <w:bCs/>
          <w:i/>
        </w:rPr>
        <w:t xml:space="preserve">Eimeria </w:t>
      </w:r>
      <w:r w:rsidRPr="00C62793">
        <w:rPr>
          <w:bCs/>
          <w:i/>
        </w:rPr>
        <w:t>spp</w:t>
      </w:r>
      <w:r>
        <w:rPr>
          <w:bCs/>
          <w:i/>
        </w:rPr>
        <w:t xml:space="preserve"> </w:t>
      </w:r>
      <w:r w:rsidRPr="00C62793">
        <w:rPr>
          <w:bCs/>
        </w:rPr>
        <w:t>(17%);</w:t>
      </w:r>
      <w:r>
        <w:rPr>
          <w:bCs/>
        </w:rPr>
        <w:t xml:space="preserve"> </w:t>
      </w:r>
      <w:r w:rsidRPr="00A07856">
        <w:rPr>
          <w:bCs/>
          <w:i/>
        </w:rPr>
        <w:t>Paramphistomum</w:t>
      </w:r>
      <w:r>
        <w:rPr>
          <w:bCs/>
          <w:i/>
        </w:rPr>
        <w:t xml:space="preserve"> </w:t>
      </w:r>
      <w:r w:rsidRPr="00A07856">
        <w:rPr>
          <w:bCs/>
          <w:i/>
        </w:rPr>
        <w:t>spp</w:t>
      </w:r>
      <w:r>
        <w:rPr>
          <w:bCs/>
        </w:rPr>
        <w:t xml:space="preserve"> (17%); </w:t>
      </w:r>
      <w:r w:rsidRPr="00A07856">
        <w:rPr>
          <w:bCs/>
          <w:i/>
        </w:rPr>
        <w:t>Strongyloides spp</w:t>
      </w:r>
      <w:r w:rsidRPr="00C62793">
        <w:rPr>
          <w:bCs/>
        </w:rPr>
        <w:t xml:space="preserve"> (15%);</w:t>
      </w:r>
      <w:r>
        <w:rPr>
          <w:bCs/>
        </w:rPr>
        <w:t xml:space="preserve">  </w:t>
      </w:r>
      <w:r w:rsidRPr="00A07856">
        <w:rPr>
          <w:bCs/>
          <w:i/>
        </w:rPr>
        <w:t>Bunostomum spp</w:t>
      </w:r>
      <w:r w:rsidRPr="00C62793">
        <w:rPr>
          <w:bCs/>
        </w:rPr>
        <w:t xml:space="preserve"> (10%);</w:t>
      </w:r>
      <w:r>
        <w:rPr>
          <w:bCs/>
        </w:rPr>
        <w:t xml:space="preserve"> </w:t>
      </w:r>
      <w:r w:rsidRPr="00A07856">
        <w:rPr>
          <w:bCs/>
          <w:i/>
        </w:rPr>
        <w:t>Trichuris spp</w:t>
      </w:r>
      <w:r>
        <w:rPr>
          <w:bCs/>
          <w:i/>
        </w:rPr>
        <w:t xml:space="preserve"> </w:t>
      </w:r>
      <w:r w:rsidRPr="00C62793">
        <w:rPr>
          <w:bCs/>
        </w:rPr>
        <w:t>(14%);</w:t>
      </w:r>
      <w:r>
        <w:rPr>
          <w:bCs/>
        </w:rPr>
        <w:t xml:space="preserve">  </w:t>
      </w:r>
      <w:r w:rsidRPr="00A07856">
        <w:rPr>
          <w:bCs/>
          <w:i/>
        </w:rPr>
        <w:t>Haemonchus spp</w:t>
      </w:r>
      <w:r>
        <w:rPr>
          <w:bCs/>
          <w:i/>
        </w:rPr>
        <w:t xml:space="preserve"> </w:t>
      </w:r>
      <w:r>
        <w:rPr>
          <w:bCs/>
        </w:rPr>
        <w:t xml:space="preserve">(8%) </w:t>
      </w:r>
      <w:r>
        <w:t xml:space="preserve"> and  </w:t>
      </w:r>
      <w:r w:rsidRPr="00A07856">
        <w:rPr>
          <w:bCs/>
          <w:i/>
        </w:rPr>
        <w:t>Trychostrongylus</w:t>
      </w:r>
      <w:r>
        <w:rPr>
          <w:bCs/>
          <w:i/>
        </w:rPr>
        <w:t xml:space="preserve">  </w:t>
      </w:r>
      <w:r w:rsidRPr="00A07856">
        <w:rPr>
          <w:bCs/>
          <w:i/>
        </w:rPr>
        <w:t>spp</w:t>
      </w:r>
      <w:r>
        <w:rPr>
          <w:bCs/>
          <w:i/>
        </w:rPr>
        <w:t xml:space="preserve"> </w:t>
      </w:r>
      <w:r w:rsidRPr="00C62793">
        <w:rPr>
          <w:bCs/>
        </w:rPr>
        <w:t>(5%);</w:t>
      </w:r>
      <w:r>
        <w:rPr>
          <w:bCs/>
        </w:rPr>
        <w:t xml:space="preserve"> </w:t>
      </w:r>
      <w:r w:rsidRPr="00C62793">
        <w:rPr>
          <w:bCs/>
        </w:rPr>
        <w:t>The overall prevalence of gastrointestinal parasitic infections (</w:t>
      </w:r>
      <w:r w:rsidRPr="00C62793">
        <w:t xml:space="preserve">some samples had more than one parasitic infections) was </w:t>
      </w:r>
      <w:r>
        <w:t xml:space="preserve">recorded as </w:t>
      </w:r>
      <w:r w:rsidRPr="00C62793">
        <w:t>85%</w:t>
      </w:r>
      <w:r>
        <w:t xml:space="preserve"> </w:t>
      </w:r>
    </w:p>
    <w:p w:rsidR="0075165F" w:rsidRPr="00C62793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825EF4">
        <w:rPr>
          <w:noProof/>
        </w:rPr>
        <w:drawing>
          <wp:inline distT="0" distB="0" distL="0" distR="0">
            <wp:extent cx="5866109" cy="4049486"/>
            <wp:effectExtent l="19050" t="0" r="20341" b="8164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65F" w:rsidRDefault="0075165F" w:rsidP="0075165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5571B">
        <w:rPr>
          <w:b/>
        </w:rPr>
        <w:t>Figure 1:</w:t>
      </w:r>
      <w:r w:rsidRPr="009A48B7">
        <w:t xml:space="preserve"> prevalence of different parasites in the study </w:t>
      </w:r>
      <w:r>
        <w:t>population (some samples had more</w:t>
      </w:r>
    </w:p>
    <w:p w:rsidR="0075165F" w:rsidRDefault="0075165F" w:rsidP="0075165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4B78B4">
        <w:t xml:space="preserve"> </w:t>
      </w:r>
      <w:r>
        <w:t xml:space="preserve"> than one parasitic infections)</w:t>
      </w:r>
    </w:p>
    <w:p w:rsidR="0075165F" w:rsidRDefault="0075165F" w:rsidP="0075165F"/>
    <w:p w:rsidR="0075165F" w:rsidRPr="000531BA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0531BA">
        <w:rPr>
          <w:b/>
          <w:bCs/>
        </w:rPr>
        <w:t>4.</w:t>
      </w:r>
      <w:r>
        <w:rPr>
          <w:b/>
          <w:bCs/>
        </w:rPr>
        <w:t xml:space="preserve">1.2 Sex-specific prevalence of </w:t>
      </w:r>
      <w:r w:rsidRPr="000531BA">
        <w:rPr>
          <w:b/>
          <w:bCs/>
        </w:rPr>
        <w:t>gastro</w:t>
      </w:r>
      <w:r>
        <w:rPr>
          <w:b/>
          <w:bCs/>
        </w:rPr>
        <w:t xml:space="preserve"> </w:t>
      </w:r>
      <w:r w:rsidRPr="000531BA">
        <w:rPr>
          <w:b/>
          <w:bCs/>
        </w:rPr>
        <w:t>intestinal parasitic infections</w:t>
      </w:r>
    </w:p>
    <w:p w:rsidR="0075165F" w:rsidRPr="00D5369F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75165F" w:rsidRPr="00402CAE" w:rsidRDefault="0075165F" w:rsidP="0075165F">
      <w:pPr>
        <w:spacing w:line="276" w:lineRule="auto"/>
        <w:jc w:val="both"/>
      </w:pPr>
      <w:r w:rsidRPr="00402CAE">
        <w:rPr>
          <w:bCs/>
        </w:rPr>
        <w:t xml:space="preserve">In the current study, it was revealed that </w:t>
      </w:r>
      <w:r w:rsidRPr="0065571B">
        <w:rPr>
          <w:b/>
          <w:bCs/>
        </w:rPr>
        <w:t>(table 1)</w:t>
      </w:r>
      <w:r w:rsidRPr="00402CAE">
        <w:rPr>
          <w:bCs/>
        </w:rPr>
        <w:t xml:space="preserve"> the prevalence of different</w:t>
      </w:r>
      <w:r>
        <w:rPr>
          <w:bCs/>
        </w:rPr>
        <w:t xml:space="preserve"> parasitic infections were varied between male and female; </w:t>
      </w:r>
      <w:r w:rsidRPr="00402CAE">
        <w:rPr>
          <w:bCs/>
          <w:i/>
        </w:rPr>
        <w:t>Eimeria</w:t>
      </w:r>
      <w:r>
        <w:rPr>
          <w:bCs/>
          <w:i/>
        </w:rPr>
        <w:t xml:space="preserve"> </w:t>
      </w:r>
      <w:r w:rsidRPr="00402CAE">
        <w:rPr>
          <w:bCs/>
          <w:i/>
        </w:rPr>
        <w:t>spp</w:t>
      </w:r>
      <w:r w:rsidRPr="00402CAE">
        <w:rPr>
          <w:bCs/>
        </w:rPr>
        <w:t xml:space="preserve"> (18% in male and 16% in female), </w:t>
      </w:r>
      <w:r w:rsidRPr="00402CAE">
        <w:rPr>
          <w:bCs/>
          <w:i/>
        </w:rPr>
        <w:t>Moneizia spp</w:t>
      </w:r>
      <w:r>
        <w:rPr>
          <w:bCs/>
          <w:i/>
        </w:rPr>
        <w:t xml:space="preserve"> </w:t>
      </w:r>
      <w:r w:rsidRPr="00402CAE">
        <w:rPr>
          <w:bCs/>
        </w:rPr>
        <w:t xml:space="preserve">(26% in male and 16% in female) , </w:t>
      </w:r>
      <w:r w:rsidRPr="00402CAE">
        <w:rPr>
          <w:bCs/>
          <w:i/>
        </w:rPr>
        <w:t>Strongyloides spp</w:t>
      </w:r>
      <w:r>
        <w:rPr>
          <w:bCs/>
          <w:i/>
        </w:rPr>
        <w:t xml:space="preserve"> </w:t>
      </w:r>
      <w:r w:rsidRPr="00402CAE">
        <w:rPr>
          <w:bCs/>
        </w:rPr>
        <w:t xml:space="preserve">(20% in male and 8% in female), and  </w:t>
      </w:r>
      <w:r w:rsidRPr="00402CAE">
        <w:rPr>
          <w:bCs/>
          <w:i/>
        </w:rPr>
        <w:t>Bunostomum</w:t>
      </w:r>
      <w:r>
        <w:rPr>
          <w:bCs/>
          <w:i/>
        </w:rPr>
        <w:t xml:space="preserve"> </w:t>
      </w:r>
      <w:r w:rsidRPr="00402CAE">
        <w:rPr>
          <w:bCs/>
          <w:i/>
        </w:rPr>
        <w:t>spp</w:t>
      </w:r>
      <w:r>
        <w:rPr>
          <w:bCs/>
          <w:i/>
        </w:rPr>
        <w:t xml:space="preserve"> </w:t>
      </w:r>
      <w:r w:rsidRPr="00402CAE">
        <w:rPr>
          <w:bCs/>
        </w:rPr>
        <w:t>(9% in male and12% in female)</w:t>
      </w:r>
      <w:r>
        <w:rPr>
          <w:bCs/>
        </w:rPr>
        <w:t xml:space="preserve">. However, there </w:t>
      </w:r>
      <w:r w:rsidRPr="00402CAE">
        <w:rPr>
          <w:bCs/>
        </w:rPr>
        <w:t>were no</w:t>
      </w:r>
      <w:r>
        <w:rPr>
          <w:bCs/>
        </w:rPr>
        <w:t xml:space="preserve"> significant </w:t>
      </w:r>
      <w:r w:rsidRPr="00402CAE">
        <w:rPr>
          <w:bCs/>
        </w:rPr>
        <w:t>differ</w:t>
      </w:r>
      <w:r>
        <w:rPr>
          <w:bCs/>
        </w:rPr>
        <w:t xml:space="preserve">ence in prevalence (p- value &gt; 0.05) </w:t>
      </w:r>
      <w:r w:rsidRPr="00402CAE">
        <w:rPr>
          <w:bCs/>
        </w:rPr>
        <w:t>between male and female calves</w:t>
      </w:r>
      <w:r>
        <w:rPr>
          <w:bCs/>
        </w:rPr>
        <w:t xml:space="preserve"> for most of the species of parasites</w:t>
      </w:r>
      <w:r w:rsidRPr="00402CAE">
        <w:rPr>
          <w:bCs/>
        </w:rPr>
        <w:t>,</w:t>
      </w:r>
      <w:r>
        <w:rPr>
          <w:bCs/>
        </w:rPr>
        <w:t xml:space="preserve"> A </w:t>
      </w:r>
      <w:r w:rsidRPr="00402CAE">
        <w:rPr>
          <w:bCs/>
        </w:rPr>
        <w:t>statistically significant differen</w:t>
      </w:r>
      <w:r>
        <w:rPr>
          <w:bCs/>
        </w:rPr>
        <w:t>ce</w:t>
      </w:r>
      <w:r w:rsidRPr="00402CAE">
        <w:rPr>
          <w:bCs/>
        </w:rPr>
        <w:t xml:space="preserve"> (p- value &lt; 0.05) in prevalence </w:t>
      </w:r>
      <w:r>
        <w:rPr>
          <w:bCs/>
        </w:rPr>
        <w:t xml:space="preserve">was observed for </w:t>
      </w:r>
      <w:r w:rsidRPr="00402CAE">
        <w:rPr>
          <w:bCs/>
          <w:i/>
        </w:rPr>
        <w:t>Toxocara spp</w:t>
      </w:r>
      <w:r>
        <w:rPr>
          <w:bCs/>
          <w:i/>
        </w:rPr>
        <w:t xml:space="preserve"> </w:t>
      </w:r>
      <w:r w:rsidRPr="00402CAE">
        <w:rPr>
          <w:bCs/>
        </w:rPr>
        <w:t xml:space="preserve">(29% in male and 4% in male)  and </w:t>
      </w:r>
      <w:r w:rsidRPr="00402CAE">
        <w:rPr>
          <w:bCs/>
          <w:i/>
        </w:rPr>
        <w:t>Trichuris spp</w:t>
      </w:r>
      <w:r>
        <w:rPr>
          <w:bCs/>
          <w:i/>
        </w:rPr>
        <w:t xml:space="preserve"> </w:t>
      </w:r>
      <w:r w:rsidRPr="00402CAE">
        <w:rPr>
          <w:bCs/>
        </w:rPr>
        <w:t>(6% in male and 24% in female).</w:t>
      </w:r>
    </w:p>
    <w:p w:rsidR="0075165F" w:rsidRPr="00D5369F" w:rsidRDefault="0075165F" w:rsidP="007516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bCs/>
          <w:spacing w:val="6"/>
        </w:rPr>
      </w:pPr>
    </w:p>
    <w:p w:rsidR="0075165F" w:rsidRPr="00A003BF" w:rsidRDefault="0075165F" w:rsidP="0075165F">
      <w:pPr>
        <w:widowControl w:val="0"/>
        <w:autoSpaceDE w:val="0"/>
        <w:autoSpaceDN w:val="0"/>
        <w:adjustRightInd w:val="0"/>
      </w:pPr>
    </w:p>
    <w:p w:rsidR="0075165F" w:rsidRDefault="0075165F" w:rsidP="0075165F">
      <w:pPr>
        <w:spacing w:line="276" w:lineRule="auto"/>
      </w:pPr>
      <w:r w:rsidRPr="00A003BF">
        <w:rPr>
          <w:b/>
        </w:rPr>
        <w:t>Table 1: association between prevalence of different common and economically important</w:t>
      </w:r>
    </w:p>
    <w:p w:rsidR="0075165F" w:rsidRDefault="0075165F" w:rsidP="0075165F">
      <w:pPr>
        <w:spacing w:line="276" w:lineRule="auto"/>
        <w:rPr>
          <w:b/>
        </w:rPr>
      </w:pPr>
      <w:r w:rsidRPr="00A81C3D">
        <w:rPr>
          <w:b/>
        </w:rPr>
        <w:t xml:space="preserve">parasites with different </w:t>
      </w:r>
      <w:r>
        <w:rPr>
          <w:b/>
        </w:rPr>
        <w:t xml:space="preserve">categorical </w:t>
      </w:r>
      <w:r w:rsidRPr="00A81C3D">
        <w:rPr>
          <w:b/>
        </w:rPr>
        <w:t>variables (sex and deworming)</w:t>
      </w:r>
    </w:p>
    <w:p w:rsidR="0075165F" w:rsidRPr="00A81C3D" w:rsidRDefault="0075165F" w:rsidP="0075165F">
      <w:pPr>
        <w:spacing w:line="276" w:lineRule="auto"/>
        <w:rPr>
          <w:b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864"/>
        <w:gridCol w:w="947"/>
        <w:gridCol w:w="1078"/>
        <w:gridCol w:w="1058"/>
        <w:gridCol w:w="1457"/>
        <w:gridCol w:w="1073"/>
        <w:gridCol w:w="1431"/>
      </w:tblGrid>
      <w:tr w:rsidR="0075165F" w:rsidRPr="00DB2553" w:rsidTr="003455AD">
        <w:trPr>
          <w:trHeight w:val="574"/>
        </w:trPr>
        <w:tc>
          <w:tcPr>
            <w:tcW w:w="12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Variable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level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jc w:val="center"/>
              <w:rPr>
                <w:lang w:val="en-US"/>
              </w:rPr>
            </w:pPr>
            <w:r w:rsidRPr="00DB2553">
              <w:rPr>
                <w:lang w:val="en-US"/>
              </w:rPr>
              <w:t>Prevalence of different parasites</w:t>
            </w:r>
          </w:p>
          <w:p w:rsidR="0075165F" w:rsidRPr="00DB2553" w:rsidRDefault="0075165F" w:rsidP="003455AD">
            <w:pPr>
              <w:jc w:val="center"/>
              <w:rPr>
                <w:lang w:val="en-US"/>
              </w:rPr>
            </w:pPr>
            <w:r w:rsidRPr="00DB2553">
              <w:rPr>
                <w:lang w:val="en-US"/>
              </w:rPr>
              <w:t>N (%)</w:t>
            </w:r>
          </w:p>
        </w:tc>
      </w:tr>
      <w:tr w:rsidR="0075165F" w:rsidRPr="00DB2553" w:rsidTr="003455AD">
        <w:trPr>
          <w:trHeight w:val="163"/>
        </w:trPr>
        <w:tc>
          <w:tcPr>
            <w:tcW w:w="1237" w:type="dxa"/>
            <w:vMerge/>
            <w:tcBorders>
              <w:top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Eimeria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Toxocara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Moneizia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Strongyloides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Trichuris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DB2553" w:rsidRDefault="0075165F" w:rsidP="003455AD">
            <w:pPr>
              <w:spacing w:line="276" w:lineRule="auto"/>
              <w:rPr>
                <w:lang w:val="en-US"/>
              </w:rPr>
            </w:pPr>
            <w:r w:rsidRPr="00DB2553">
              <w:rPr>
                <w:lang w:val="en-US"/>
              </w:rPr>
              <w:t>Bunostomum</w:t>
            </w:r>
          </w:p>
        </w:tc>
      </w:tr>
      <w:tr w:rsidR="0075165F" w:rsidRPr="00DB2553" w:rsidTr="003455AD">
        <w:trPr>
          <w:trHeight w:val="269"/>
        </w:trPr>
        <w:tc>
          <w:tcPr>
            <w:tcW w:w="1237" w:type="dxa"/>
            <w:vMerge w:val="restart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Sex</w:t>
            </w:r>
          </w:p>
        </w:tc>
        <w:tc>
          <w:tcPr>
            <w:tcW w:w="849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Male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6 (18)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10 (29)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9 (26)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7 (20)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2 (6)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3 (9)</w:t>
            </w:r>
          </w:p>
        </w:tc>
      </w:tr>
      <w:tr w:rsidR="0075165F" w:rsidRPr="00DB2553" w:rsidTr="003455AD">
        <w:trPr>
          <w:trHeight w:val="163"/>
        </w:trPr>
        <w:tc>
          <w:tcPr>
            <w:tcW w:w="1237" w:type="dxa"/>
            <w:vMerge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Female</w:t>
            </w:r>
          </w:p>
        </w:tc>
        <w:tc>
          <w:tcPr>
            <w:tcW w:w="956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4 (16)</w:t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1 (4)</w:t>
            </w:r>
          </w:p>
        </w:tc>
        <w:tc>
          <w:tcPr>
            <w:tcW w:w="1061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4 (16)</w:t>
            </w:r>
          </w:p>
        </w:tc>
        <w:tc>
          <w:tcPr>
            <w:tcW w:w="1462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2 (8)</w:t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6 (24)</w:t>
            </w:r>
          </w:p>
        </w:tc>
        <w:tc>
          <w:tcPr>
            <w:tcW w:w="1438" w:type="dxa"/>
            <w:shd w:val="clear" w:color="auto" w:fill="FFFFFF" w:themeFill="background1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3 (12)</w:t>
            </w:r>
          </w:p>
        </w:tc>
      </w:tr>
      <w:tr w:rsidR="0075165F" w:rsidRPr="00DB2553" w:rsidTr="003455AD">
        <w:trPr>
          <w:trHeight w:val="287"/>
        </w:trPr>
        <w:tc>
          <w:tcPr>
            <w:tcW w:w="1237" w:type="dxa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956" w:type="dxa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</w:p>
        </w:tc>
        <w:tc>
          <w:tcPr>
            <w:tcW w:w="1061" w:type="dxa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1462" w:type="dxa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</w:tr>
      <w:tr w:rsidR="0075165F" w:rsidRPr="00DB2553" w:rsidTr="003455AD">
        <w:trPr>
          <w:trHeight w:val="574"/>
        </w:trPr>
        <w:tc>
          <w:tcPr>
            <w:tcW w:w="1237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Deworming</w:t>
            </w:r>
          </w:p>
        </w:tc>
        <w:tc>
          <w:tcPr>
            <w:tcW w:w="849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No</w:t>
            </w:r>
          </w:p>
        </w:tc>
        <w:tc>
          <w:tcPr>
            <w:tcW w:w="956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5 (17)</w:t>
            </w:r>
          </w:p>
        </w:tc>
        <w:tc>
          <w:tcPr>
            <w:tcW w:w="1086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6 (20)</w:t>
            </w:r>
          </w:p>
        </w:tc>
        <w:tc>
          <w:tcPr>
            <w:tcW w:w="1061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6 (19)</w:t>
            </w:r>
          </w:p>
        </w:tc>
        <w:tc>
          <w:tcPr>
            <w:tcW w:w="1462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6 (19)</w:t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7 (23)</w:t>
            </w:r>
          </w:p>
        </w:tc>
        <w:tc>
          <w:tcPr>
            <w:tcW w:w="1438" w:type="dxa"/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4 (13)</w:t>
            </w:r>
          </w:p>
        </w:tc>
      </w:tr>
      <w:tr w:rsidR="0075165F" w:rsidRPr="00DB2553" w:rsidTr="003455AD">
        <w:trPr>
          <w:trHeight w:val="287"/>
        </w:trPr>
        <w:tc>
          <w:tcPr>
            <w:tcW w:w="1237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Yes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5 (17)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5 (18)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7 (24)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3 (10)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5165F" w:rsidRPr="00DB2553" w:rsidRDefault="0075165F" w:rsidP="003455AD">
            <w:pPr>
              <w:rPr>
                <w:i/>
                <w:lang w:val="en-US"/>
              </w:rPr>
            </w:pPr>
            <w:r w:rsidRPr="00DB2553">
              <w:rPr>
                <w:i/>
                <w:lang w:val="en-US"/>
              </w:rPr>
              <w:t>1 (4)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5165F" w:rsidRPr="00DB2553" w:rsidRDefault="0075165F" w:rsidP="003455AD">
            <w:pPr>
              <w:rPr>
                <w:lang w:val="en-US"/>
              </w:rPr>
            </w:pPr>
            <w:r w:rsidRPr="00DB2553">
              <w:rPr>
                <w:lang w:val="en-US"/>
              </w:rPr>
              <w:t>2 (7)</w:t>
            </w:r>
          </w:p>
        </w:tc>
      </w:tr>
    </w:tbl>
    <w:p w:rsidR="0075165F" w:rsidRDefault="0075165F" w:rsidP="0075165F">
      <w:pPr>
        <w:spacing w:line="276" w:lineRule="auto"/>
        <w:rPr>
          <w:rFonts w:cstheme="minorHAnsi"/>
        </w:rPr>
      </w:pPr>
      <w:r>
        <w:t xml:space="preserve">Bold and italic numbers in shaded box: statistically significant (p-value &lt;0.05) associations measured with </w:t>
      </w:r>
      <w:r w:rsidRPr="00C60E5A">
        <w:rPr>
          <w:rFonts w:cstheme="minorHAnsi"/>
          <w:i/>
        </w:rPr>
        <w:t>X</w:t>
      </w:r>
      <w:r>
        <w:rPr>
          <w:rFonts w:cstheme="minorHAnsi"/>
        </w:rPr>
        <w:t>² test</w:t>
      </w:r>
    </w:p>
    <w:p w:rsidR="0075165F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:rsidR="0075165F" w:rsidRDefault="0075165F" w:rsidP="0075165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:rsidR="0075165F" w:rsidRPr="00D0203E" w:rsidRDefault="0075165F" w:rsidP="0075165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4.1.3 Prevalence of gastrointestinal parasitic infection according to Deworming</w:t>
      </w:r>
    </w:p>
    <w:p w:rsidR="0075165F" w:rsidRDefault="0075165F" w:rsidP="0075165F">
      <w:pPr>
        <w:spacing w:line="276" w:lineRule="auto"/>
        <w:rPr>
          <w:rFonts w:ascii="Times" w:hAnsi="Times" w:cs="Times"/>
          <w:bCs/>
        </w:rPr>
      </w:pPr>
    </w:p>
    <w:p w:rsidR="0075165F" w:rsidRPr="00F41D54" w:rsidRDefault="0075165F" w:rsidP="0075165F">
      <w:pPr>
        <w:spacing w:line="276" w:lineRule="auto"/>
        <w:jc w:val="both"/>
        <w:rPr>
          <w:bCs/>
        </w:rPr>
      </w:pPr>
      <w:r w:rsidRPr="000531BA">
        <w:rPr>
          <w:bCs/>
        </w:rPr>
        <w:t xml:space="preserve">In the current study, it was revealed that </w:t>
      </w:r>
      <w:r w:rsidRPr="00CB47A1">
        <w:rPr>
          <w:b/>
          <w:bCs/>
        </w:rPr>
        <w:t>( table 1)</w:t>
      </w:r>
      <w:r w:rsidRPr="000531BA">
        <w:rPr>
          <w:bCs/>
        </w:rPr>
        <w:t xml:space="preserve">  the prevalence of  </w:t>
      </w:r>
      <w:r w:rsidRPr="000531BA">
        <w:rPr>
          <w:bCs/>
          <w:i/>
        </w:rPr>
        <w:t>Eimeria spp</w:t>
      </w:r>
      <w:r>
        <w:rPr>
          <w:bCs/>
          <w:i/>
        </w:rPr>
        <w:t xml:space="preserve"> </w:t>
      </w:r>
      <w:r w:rsidRPr="000531BA">
        <w:rPr>
          <w:bCs/>
        </w:rPr>
        <w:t xml:space="preserve">(17% </w:t>
      </w:r>
      <w:r>
        <w:rPr>
          <w:bCs/>
        </w:rPr>
        <w:t>in both groups; dewormed and non dewormed</w:t>
      </w:r>
      <w:r w:rsidRPr="000531BA">
        <w:rPr>
          <w:bCs/>
        </w:rPr>
        <w:t xml:space="preserve">), </w:t>
      </w:r>
      <w:r w:rsidRPr="000531BA">
        <w:rPr>
          <w:bCs/>
          <w:i/>
        </w:rPr>
        <w:t>Toxocara spp</w:t>
      </w:r>
      <w:r>
        <w:rPr>
          <w:bCs/>
          <w:i/>
        </w:rPr>
        <w:t xml:space="preserve"> </w:t>
      </w:r>
      <w:r w:rsidRPr="000531BA">
        <w:rPr>
          <w:bCs/>
        </w:rPr>
        <w:t>(20% in no</w:t>
      </w:r>
      <w:r>
        <w:rPr>
          <w:bCs/>
        </w:rPr>
        <w:t>n dewormed and 18% in dewormed</w:t>
      </w:r>
      <w:r w:rsidRPr="000531BA">
        <w:rPr>
          <w:bCs/>
        </w:rPr>
        <w:t>),</w:t>
      </w:r>
      <w:r>
        <w:rPr>
          <w:bCs/>
        </w:rPr>
        <w:t xml:space="preserve"> </w:t>
      </w:r>
      <w:r>
        <w:rPr>
          <w:bCs/>
          <w:i/>
        </w:rPr>
        <w:t>M</w:t>
      </w:r>
      <w:r w:rsidRPr="000531BA">
        <w:rPr>
          <w:bCs/>
          <w:i/>
        </w:rPr>
        <w:t>oneizia spp</w:t>
      </w:r>
      <w:r>
        <w:rPr>
          <w:bCs/>
          <w:i/>
        </w:rPr>
        <w:t xml:space="preserve"> </w:t>
      </w:r>
      <w:r>
        <w:rPr>
          <w:bCs/>
        </w:rPr>
        <w:t>(19% in non dewormed and 24% in dewormed</w:t>
      </w:r>
      <w:r w:rsidRPr="000531BA">
        <w:rPr>
          <w:bCs/>
        </w:rPr>
        <w:t xml:space="preserve">), </w:t>
      </w:r>
      <w:r w:rsidRPr="000531BA">
        <w:rPr>
          <w:bCs/>
          <w:i/>
        </w:rPr>
        <w:t>Strongyloides spp</w:t>
      </w:r>
      <w:r>
        <w:rPr>
          <w:bCs/>
          <w:i/>
        </w:rPr>
        <w:t xml:space="preserve"> </w:t>
      </w:r>
      <w:r w:rsidRPr="000531BA">
        <w:rPr>
          <w:bCs/>
        </w:rPr>
        <w:t>(19% in no</w:t>
      </w:r>
      <w:r>
        <w:rPr>
          <w:bCs/>
        </w:rPr>
        <w:t>n dewormed and 10% in dewormed</w:t>
      </w:r>
      <w:r w:rsidRPr="000531BA">
        <w:rPr>
          <w:bCs/>
        </w:rPr>
        <w:t xml:space="preserve">), </w:t>
      </w:r>
      <w:r>
        <w:rPr>
          <w:bCs/>
        </w:rPr>
        <w:t xml:space="preserve"> </w:t>
      </w:r>
      <w:r w:rsidRPr="000531BA">
        <w:rPr>
          <w:bCs/>
          <w:i/>
        </w:rPr>
        <w:t>Bunostomum spp</w:t>
      </w:r>
      <w:r>
        <w:rPr>
          <w:bCs/>
          <w:i/>
        </w:rPr>
        <w:t xml:space="preserve"> </w:t>
      </w:r>
      <w:r>
        <w:rPr>
          <w:bCs/>
        </w:rPr>
        <w:t>(13% in non dewormed and 7% in dewormed</w:t>
      </w:r>
      <w:r w:rsidRPr="000531BA">
        <w:rPr>
          <w:bCs/>
        </w:rPr>
        <w:t>) were not significantly  differ (p- value &gt; 0.05)  between non deworm</w:t>
      </w:r>
      <w:r>
        <w:rPr>
          <w:bCs/>
        </w:rPr>
        <w:t>ed</w:t>
      </w:r>
      <w:r w:rsidRPr="000531BA">
        <w:rPr>
          <w:bCs/>
        </w:rPr>
        <w:t xml:space="preserve"> and deworm</w:t>
      </w:r>
      <w:r>
        <w:rPr>
          <w:bCs/>
        </w:rPr>
        <w:t xml:space="preserve">ed </w:t>
      </w:r>
      <w:r w:rsidRPr="000531BA">
        <w:rPr>
          <w:bCs/>
        </w:rPr>
        <w:t xml:space="preserve">calves, </w:t>
      </w:r>
      <w:r>
        <w:rPr>
          <w:bCs/>
        </w:rPr>
        <w:t xml:space="preserve">except for </w:t>
      </w:r>
      <w:r w:rsidRPr="000531BA">
        <w:rPr>
          <w:bCs/>
        </w:rPr>
        <w:t>Trichuris spp</w:t>
      </w:r>
      <w:r>
        <w:rPr>
          <w:bCs/>
        </w:rPr>
        <w:t xml:space="preserve"> (23% in non dewormed</w:t>
      </w:r>
      <w:r w:rsidRPr="000531BA">
        <w:rPr>
          <w:bCs/>
        </w:rPr>
        <w:t xml:space="preserve"> a</w:t>
      </w:r>
      <w:r>
        <w:rPr>
          <w:bCs/>
        </w:rPr>
        <w:t>nd 4% in dewormed, p-value &lt;0.05</w:t>
      </w:r>
      <w:r w:rsidRPr="000531BA">
        <w:rPr>
          <w:bCs/>
        </w:rPr>
        <w:t>).</w:t>
      </w:r>
    </w:p>
    <w:p w:rsidR="0075165F" w:rsidRDefault="0075165F" w:rsidP="0075165F">
      <w:pPr>
        <w:widowControl w:val="0"/>
        <w:autoSpaceDE w:val="0"/>
        <w:autoSpaceDN w:val="0"/>
        <w:adjustRightInd w:val="0"/>
        <w:ind w:left="120"/>
        <w:rPr>
          <w:rFonts w:ascii="Times" w:hAnsi="Times" w:cs="Times"/>
          <w:b/>
          <w:bCs/>
          <w:sz w:val="26"/>
          <w:szCs w:val="26"/>
        </w:rPr>
      </w:pPr>
    </w:p>
    <w:p w:rsidR="0075165F" w:rsidRDefault="0075165F" w:rsidP="0075165F"/>
    <w:p w:rsidR="0075165F" w:rsidRDefault="0075165F" w:rsidP="0075165F">
      <w:pPr>
        <w:widowControl w:val="0"/>
        <w:autoSpaceDE w:val="0"/>
        <w:autoSpaceDN w:val="0"/>
        <w:adjustRightInd w:val="0"/>
        <w:spacing w:line="276" w:lineRule="auto"/>
      </w:pPr>
    </w:p>
    <w:p w:rsidR="0075165F" w:rsidRPr="00EA4728" w:rsidRDefault="0075165F" w:rsidP="0075165F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  <w:bCs/>
          <w:sz w:val="26"/>
          <w:szCs w:val="26"/>
        </w:rPr>
        <w:lastRenderedPageBreak/>
        <w:t xml:space="preserve">4.1.2 Age specific prevalence of gastrointestinal </w:t>
      </w:r>
      <w:r w:rsidRPr="00EA4728">
        <w:rPr>
          <w:b/>
          <w:bCs/>
          <w:sz w:val="26"/>
          <w:szCs w:val="26"/>
        </w:rPr>
        <w:t>paras</w:t>
      </w:r>
      <w:r>
        <w:rPr>
          <w:b/>
          <w:bCs/>
          <w:sz w:val="26"/>
          <w:szCs w:val="26"/>
        </w:rPr>
        <w:t xml:space="preserve">itic </w:t>
      </w:r>
      <w:r w:rsidRPr="00EA4728">
        <w:rPr>
          <w:b/>
          <w:bCs/>
          <w:sz w:val="26"/>
          <w:szCs w:val="26"/>
        </w:rPr>
        <w:t>infections</w:t>
      </w:r>
    </w:p>
    <w:p w:rsidR="0075165F" w:rsidRDefault="0075165F" w:rsidP="0075165F">
      <w:pPr>
        <w:widowControl w:val="0"/>
        <w:autoSpaceDE w:val="0"/>
        <w:autoSpaceDN w:val="0"/>
        <w:adjustRightInd w:val="0"/>
        <w:spacing w:line="276" w:lineRule="auto"/>
      </w:pPr>
    </w:p>
    <w:p w:rsidR="0075165F" w:rsidRPr="00EA4728" w:rsidRDefault="0075165F" w:rsidP="0075165F">
      <w:pPr>
        <w:spacing w:line="276" w:lineRule="auto"/>
        <w:jc w:val="both"/>
      </w:pPr>
      <w:r w:rsidRPr="00EA4728">
        <w:t xml:space="preserve">In </w:t>
      </w:r>
      <w:r>
        <w:t>this</w:t>
      </w:r>
      <w:r w:rsidRPr="00EA4728">
        <w:t xml:space="preserve"> study, it was revealed that</w:t>
      </w:r>
      <w:r>
        <w:t xml:space="preserve"> </w:t>
      </w:r>
      <w:r>
        <w:rPr>
          <w:b/>
        </w:rPr>
        <w:t xml:space="preserve">(From Table </w:t>
      </w:r>
      <w:r w:rsidRPr="00C64FE6">
        <w:rPr>
          <w:b/>
        </w:rPr>
        <w:t>2)</w:t>
      </w:r>
      <w:r w:rsidRPr="00EA4728">
        <w:t xml:space="preserve"> the mean age of </w:t>
      </w:r>
      <w:r>
        <w:t>c</w:t>
      </w:r>
      <w:r w:rsidRPr="00EA4728">
        <w:t>alves of Eimeria positive group was 2.6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0.4</m:t>
        </m:r>
      </m:oMath>
      <w:r w:rsidRPr="00EA4728">
        <w:t xml:space="preserve"> (95% CI:1.69-3.50) and the mean age of </w:t>
      </w:r>
      <w:r>
        <w:t>c</w:t>
      </w:r>
      <w:r w:rsidRPr="00EA4728">
        <w:t>alves of Eimeria negative group was 3.11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0.19</m:t>
        </m:r>
      </m:oMath>
      <w:r w:rsidRPr="00EA4728">
        <w:t xml:space="preserve"> (95% CI: 2.72-3.49). According to t-test there was no significant age difference between these group</w:t>
      </w:r>
      <w:r>
        <w:t>s</w:t>
      </w:r>
      <w:r w:rsidRPr="00EA4728">
        <w:t xml:space="preserve">. The mean age of </w:t>
      </w:r>
      <w:r>
        <w:t>c</w:t>
      </w:r>
      <w:r w:rsidRPr="00EA4728">
        <w:t xml:space="preserve">alves of </w:t>
      </w:r>
      <w:r w:rsidRPr="00EA4728">
        <w:rPr>
          <w:i/>
        </w:rPr>
        <w:t>Toxocara spp, Moneizia spp , Strongyloides spp, Trichuris spp</w:t>
      </w:r>
      <w:r>
        <w:rPr>
          <w:i/>
        </w:rPr>
        <w:t>,</w:t>
      </w:r>
      <w:r w:rsidRPr="00EA4728">
        <w:rPr>
          <w:i/>
        </w:rPr>
        <w:t>Bunostomum spp</w:t>
      </w:r>
      <w:r>
        <w:rPr>
          <w:i/>
        </w:rPr>
        <w:t xml:space="preserve"> </w:t>
      </w:r>
      <w:r w:rsidRPr="00EA4728">
        <w:t>positive group</w:t>
      </w:r>
      <w:r>
        <w:t xml:space="preserve">s </w:t>
      </w:r>
      <w:r w:rsidRPr="00EA4728">
        <w:t>were 3.18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0.58</m:t>
        </m:r>
      </m:oMath>
      <w:r w:rsidRPr="00EA4728">
        <w:t xml:space="preserve"> (95% CI:1.88-4.47);  3.46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0.43</m:t>
        </m:r>
      </m:oMath>
      <w:r w:rsidRPr="00EA4728">
        <w:t xml:space="preserve"> (95% CI:2.51-4.41);  3.0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0.67</m:t>
        </m:r>
      </m:oMath>
      <w:r w:rsidRPr="00EA4728">
        <w:t xml:space="preserve"> (95% CI:1.45-4.45); 3.62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0.59</m:t>
        </m:r>
      </m:oMath>
      <w:r w:rsidRPr="00EA4728">
        <w:t xml:space="preserve"> (95% CI:2.21-5.03); 2.83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0.54</m:t>
        </m:r>
      </m:oMath>
      <w:r w:rsidRPr="00EA4728">
        <w:t xml:space="preserve"> (95% CI:1.43-4.22)</w:t>
      </w:r>
      <w:r>
        <w:t>,</w:t>
      </w:r>
      <w:r w:rsidRPr="00EA4728">
        <w:t xml:space="preserve"> respectively.</w:t>
      </w:r>
      <w:r>
        <w:t xml:space="preserve"> </w:t>
      </w:r>
      <w:r w:rsidRPr="00EA4728">
        <w:t xml:space="preserve">The mean age of </w:t>
      </w:r>
      <w:r>
        <w:t>c</w:t>
      </w:r>
      <w:r w:rsidRPr="00EA4728">
        <w:t xml:space="preserve">alves of </w:t>
      </w:r>
      <w:r>
        <w:rPr>
          <w:i/>
        </w:rPr>
        <w:t>Toxocara spp</w:t>
      </w:r>
      <w:r w:rsidRPr="00EA4728">
        <w:rPr>
          <w:i/>
        </w:rPr>
        <w:t>, Moneizia</w:t>
      </w:r>
      <w:r>
        <w:rPr>
          <w:i/>
        </w:rPr>
        <w:t xml:space="preserve"> </w:t>
      </w:r>
      <w:r w:rsidRPr="00EA4728">
        <w:rPr>
          <w:i/>
        </w:rPr>
        <w:t>spp</w:t>
      </w:r>
      <w:r>
        <w:rPr>
          <w:i/>
        </w:rPr>
        <w:t xml:space="preserve">, </w:t>
      </w:r>
      <w:r w:rsidRPr="00EA4728">
        <w:rPr>
          <w:i/>
        </w:rPr>
        <w:t>Strongyloides spp, Trichuris spp, Bunostomum spp</w:t>
      </w:r>
      <w:r w:rsidRPr="00EA4728">
        <w:t xml:space="preserve"> negative group were 2.98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0.17</m:t>
        </m:r>
      </m:oMath>
      <w:r w:rsidRPr="00EA4728">
        <w:t xml:space="preserve"> (95% CI:2.63-3.34); 2.96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0.19</m:t>
        </m:r>
      </m:oMath>
      <w:r w:rsidRPr="00EA4728">
        <w:t xml:space="preserve"> (95% CI:2.58-3.35); 3.08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0.17</m:t>
        </m:r>
      </m:oMath>
      <w:r w:rsidRPr="00EA4728">
        <w:t xml:space="preserve"> (95% CI:2.73-3.44); 3.0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0.18</m:t>
        </m:r>
      </m:oMath>
      <w:r w:rsidRPr="00EA4728">
        <w:t xml:space="preserve"> (95% CI:2.63-3.38); 3.10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/>
          </w:rPr>
          <m:t>0.18</m:t>
        </m:r>
      </m:oMath>
      <w:r w:rsidRPr="00EA4728">
        <w:t xml:space="preserve"> (95% CI:2.72-3.47)</w:t>
      </w:r>
      <w:r>
        <w:t xml:space="preserve">, </w:t>
      </w:r>
      <w:r w:rsidRPr="00EA4728">
        <w:t xml:space="preserve">respectively. </w:t>
      </w:r>
      <w:r>
        <w:t xml:space="preserve">None of the significance test (t-test) was statistically significant, therefore the null hypothesis of ‘no difference in mean age between positive and negative groups’ cannot be rejected. </w:t>
      </w:r>
    </w:p>
    <w:p w:rsidR="0075165F" w:rsidRDefault="0075165F" w:rsidP="0075165F">
      <w:pPr>
        <w:spacing w:line="276" w:lineRule="auto"/>
        <w:jc w:val="both"/>
      </w:pPr>
    </w:p>
    <w:p w:rsidR="0075165F" w:rsidRPr="00B73002" w:rsidRDefault="0075165F" w:rsidP="0075165F">
      <w:pPr>
        <w:spacing w:line="276" w:lineRule="auto"/>
        <w:jc w:val="both"/>
        <w:rPr>
          <w:rFonts w:cstheme="minorHAnsi"/>
          <w:b/>
        </w:rPr>
      </w:pPr>
      <w:r w:rsidRPr="00B73002">
        <w:rPr>
          <w:rFonts w:cstheme="minorHAnsi"/>
          <w:b/>
        </w:rPr>
        <w:t>Table 2: results from t-test shows the differences in mean age between infected and uninfected groups of animals</w:t>
      </w:r>
    </w:p>
    <w:p w:rsidR="0075165F" w:rsidRDefault="0075165F" w:rsidP="0075165F">
      <w:pPr>
        <w:spacing w:line="276" w:lineRule="auto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"/>
        <w:gridCol w:w="1370"/>
        <w:gridCol w:w="1134"/>
        <w:gridCol w:w="1275"/>
        <w:gridCol w:w="1701"/>
      </w:tblGrid>
      <w:tr w:rsidR="0075165F" w:rsidTr="003455AD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316C51" w:rsidRDefault="0075165F" w:rsidP="003455AD">
            <w:pPr>
              <w:jc w:val="both"/>
              <w:rPr>
                <w:rFonts w:cstheme="minorHAnsi"/>
                <w:lang w:val="en-US"/>
              </w:rPr>
            </w:pPr>
            <w:r w:rsidRPr="00316C51">
              <w:rPr>
                <w:rFonts w:cstheme="minorHAnsi"/>
                <w:lang w:val="en-US"/>
              </w:rPr>
              <w:t>Parasites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316C51" w:rsidRDefault="0075165F" w:rsidP="003455AD">
            <w:pPr>
              <w:jc w:val="both"/>
              <w:rPr>
                <w:rFonts w:cstheme="minorHAnsi"/>
                <w:lang w:val="en-US"/>
              </w:rPr>
            </w:pPr>
            <w:r w:rsidRPr="00316C51">
              <w:rPr>
                <w:rFonts w:cstheme="minorHAnsi"/>
                <w:lang w:val="en-US"/>
              </w:rPr>
              <w:t>Infection status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316C51" w:rsidRDefault="0075165F" w:rsidP="003455AD">
            <w:pPr>
              <w:jc w:val="both"/>
              <w:rPr>
                <w:rFonts w:cstheme="minorHAnsi"/>
                <w:lang w:val="en-US"/>
              </w:rPr>
            </w:pPr>
            <w:r w:rsidRPr="00316C51">
              <w:rPr>
                <w:rFonts w:cstheme="minorHAnsi"/>
                <w:lang w:val="en-US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316C51" w:rsidRDefault="0075165F" w:rsidP="003455AD">
            <w:pPr>
              <w:jc w:val="both"/>
              <w:rPr>
                <w:rFonts w:cstheme="minorHAnsi"/>
                <w:lang w:val="en-US"/>
              </w:rPr>
            </w:pPr>
            <w:r w:rsidRPr="00316C51">
              <w:rPr>
                <w:rFonts w:cstheme="minorHAnsi"/>
                <w:lang w:val="en-US"/>
              </w:rPr>
              <w:t>Standard error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65F" w:rsidRPr="00316C51" w:rsidRDefault="0075165F" w:rsidP="003455AD">
            <w:pPr>
              <w:jc w:val="both"/>
              <w:rPr>
                <w:rFonts w:cstheme="minorHAnsi"/>
                <w:lang w:val="en-US"/>
              </w:rPr>
            </w:pPr>
            <w:r w:rsidRPr="00316C51">
              <w:rPr>
                <w:rFonts w:cstheme="minorHAnsi"/>
                <w:lang w:val="en-US"/>
              </w:rPr>
              <w:t>95% Confidence interval</w:t>
            </w:r>
          </w:p>
        </w:tc>
      </w:tr>
      <w:tr w:rsidR="0075165F" w:rsidTr="003455AD"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Eimeria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1.69-3.50</w:t>
            </w:r>
          </w:p>
        </w:tc>
      </w:tr>
      <w:tr w:rsidR="0075165F" w:rsidTr="003455AD">
        <w:tc>
          <w:tcPr>
            <w:tcW w:w="1432" w:type="dxa"/>
            <w:vMerge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Negative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3.11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2.72-3.49</w:t>
            </w:r>
          </w:p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5165F" w:rsidTr="003455AD">
        <w:tc>
          <w:tcPr>
            <w:tcW w:w="1432" w:type="dxa"/>
            <w:vMerge w:val="restart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Toxocara</w:t>
            </w:r>
          </w:p>
        </w:tc>
        <w:tc>
          <w:tcPr>
            <w:tcW w:w="1370" w:type="dxa"/>
          </w:tcPr>
          <w:p w:rsidR="0075165F" w:rsidRPr="009B5A37" w:rsidRDefault="0075165F" w:rsidP="003455AD">
            <w:pPr>
              <w:jc w:val="both"/>
            </w:pPr>
            <w:r w:rsidRPr="009B5A37">
              <w:t>Positive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3.18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0.58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1.88-4.47</w:t>
            </w:r>
          </w:p>
        </w:tc>
      </w:tr>
      <w:tr w:rsidR="0075165F" w:rsidTr="003455AD">
        <w:tc>
          <w:tcPr>
            <w:tcW w:w="1432" w:type="dxa"/>
            <w:vMerge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:rsidR="0075165F" w:rsidRDefault="0075165F" w:rsidP="003455AD">
            <w:pPr>
              <w:jc w:val="both"/>
            </w:pPr>
            <w:r w:rsidRPr="009B5A37">
              <w:t>Negative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2.98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2.63-3.34</w:t>
            </w:r>
          </w:p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5165F" w:rsidTr="003455AD">
        <w:tc>
          <w:tcPr>
            <w:tcW w:w="1432" w:type="dxa"/>
            <w:vMerge w:val="restart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Moneizia</w:t>
            </w:r>
          </w:p>
        </w:tc>
        <w:tc>
          <w:tcPr>
            <w:tcW w:w="1370" w:type="dxa"/>
          </w:tcPr>
          <w:p w:rsidR="0075165F" w:rsidRPr="009B5A37" w:rsidRDefault="0075165F" w:rsidP="003455AD">
            <w:pPr>
              <w:jc w:val="both"/>
            </w:pPr>
            <w:r w:rsidRPr="009B5A37">
              <w:t>Positive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3.46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0.43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2.51-4.41</w:t>
            </w:r>
          </w:p>
        </w:tc>
      </w:tr>
      <w:tr w:rsidR="0075165F" w:rsidTr="003455AD">
        <w:tc>
          <w:tcPr>
            <w:tcW w:w="1432" w:type="dxa"/>
            <w:vMerge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:rsidR="0075165F" w:rsidRDefault="0075165F" w:rsidP="003455AD">
            <w:pPr>
              <w:jc w:val="both"/>
            </w:pPr>
            <w:r w:rsidRPr="009B5A37">
              <w:t>Negative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2.96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2.58-3.35</w:t>
            </w:r>
          </w:p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5165F" w:rsidTr="003455AD">
        <w:tc>
          <w:tcPr>
            <w:tcW w:w="1432" w:type="dxa"/>
            <w:vMerge w:val="restart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Strongyloides</w:t>
            </w:r>
          </w:p>
        </w:tc>
        <w:tc>
          <w:tcPr>
            <w:tcW w:w="1370" w:type="dxa"/>
          </w:tcPr>
          <w:p w:rsidR="0075165F" w:rsidRPr="009B5A37" w:rsidRDefault="0075165F" w:rsidP="003455AD">
            <w:pPr>
              <w:jc w:val="both"/>
            </w:pPr>
            <w:r w:rsidRPr="009B5A37">
              <w:t>Positive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3.0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0.67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1.45-4.54</w:t>
            </w:r>
          </w:p>
        </w:tc>
      </w:tr>
      <w:tr w:rsidR="0075165F" w:rsidTr="003455AD">
        <w:tc>
          <w:tcPr>
            <w:tcW w:w="1432" w:type="dxa"/>
            <w:vMerge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:rsidR="0075165F" w:rsidRDefault="0075165F" w:rsidP="003455AD">
            <w:pPr>
              <w:jc w:val="both"/>
            </w:pPr>
            <w:r w:rsidRPr="009B5A37">
              <w:t>Negative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3.08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2.73-3.44</w:t>
            </w:r>
          </w:p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5165F" w:rsidTr="003455AD">
        <w:tc>
          <w:tcPr>
            <w:tcW w:w="1432" w:type="dxa"/>
            <w:vMerge w:val="restart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Trichuris</w:t>
            </w:r>
          </w:p>
        </w:tc>
        <w:tc>
          <w:tcPr>
            <w:tcW w:w="1370" w:type="dxa"/>
          </w:tcPr>
          <w:p w:rsidR="0075165F" w:rsidRPr="009B5A37" w:rsidRDefault="0075165F" w:rsidP="003455AD">
            <w:pPr>
              <w:jc w:val="both"/>
            </w:pPr>
            <w:r w:rsidRPr="009B5A37">
              <w:t>Positive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3.62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0.59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2.21-5.03</w:t>
            </w:r>
          </w:p>
        </w:tc>
      </w:tr>
      <w:tr w:rsidR="0075165F" w:rsidTr="003455AD">
        <w:tc>
          <w:tcPr>
            <w:tcW w:w="1432" w:type="dxa"/>
            <w:vMerge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:rsidR="0075165F" w:rsidRDefault="0075165F" w:rsidP="003455AD">
            <w:pPr>
              <w:jc w:val="both"/>
            </w:pPr>
            <w:r w:rsidRPr="009B5A37">
              <w:t>Negative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3.0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0.18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2.63-3.38</w:t>
            </w:r>
          </w:p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5165F" w:rsidTr="003455AD">
        <w:tc>
          <w:tcPr>
            <w:tcW w:w="1432" w:type="dxa"/>
            <w:vMerge w:val="restart"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Bunostomum</w:t>
            </w:r>
          </w:p>
        </w:tc>
        <w:tc>
          <w:tcPr>
            <w:tcW w:w="1370" w:type="dxa"/>
          </w:tcPr>
          <w:p w:rsidR="0075165F" w:rsidRPr="009B5A37" w:rsidRDefault="0075165F" w:rsidP="003455AD">
            <w:pPr>
              <w:jc w:val="both"/>
            </w:pPr>
            <w:r w:rsidRPr="009B5A37">
              <w:t>Positive</w:t>
            </w:r>
          </w:p>
        </w:tc>
        <w:tc>
          <w:tcPr>
            <w:tcW w:w="1134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2.83</w:t>
            </w:r>
          </w:p>
        </w:tc>
        <w:tc>
          <w:tcPr>
            <w:tcW w:w="1275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0.54</w:t>
            </w:r>
          </w:p>
        </w:tc>
        <w:tc>
          <w:tcPr>
            <w:tcW w:w="1701" w:type="dxa"/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1.43-4.22</w:t>
            </w:r>
          </w:p>
        </w:tc>
      </w:tr>
      <w:tr w:rsidR="0075165F" w:rsidTr="003455AD"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</w:pPr>
            <w:r w:rsidRPr="009B5A37">
              <w:t>Negative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65F" w:rsidRDefault="0075165F" w:rsidP="003455A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2.72-3.47</w:t>
            </w:r>
          </w:p>
        </w:tc>
      </w:tr>
    </w:tbl>
    <w:p w:rsidR="00CF32A2" w:rsidRDefault="00CF32A2"/>
    <w:sectPr w:rsidR="00CF32A2" w:rsidSect="00887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D6" w:rsidRDefault="007124D6" w:rsidP="0088731D">
      <w:r>
        <w:separator/>
      </w:r>
    </w:p>
  </w:endnote>
  <w:endnote w:type="continuationSeparator" w:id="1">
    <w:p w:rsidR="007124D6" w:rsidRDefault="007124D6" w:rsidP="0088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1" w:rsidRDefault="00ED4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1D" w:rsidRPr="00AE448D" w:rsidRDefault="008873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6"/>
        <w:szCs w:val="26"/>
      </w:rPr>
    </w:pPr>
    <w:r w:rsidRPr="00AE448D">
      <w:rPr>
        <w:rFonts w:asciiTheme="majorHAnsi" w:hAnsiTheme="majorHAnsi"/>
        <w:sz w:val="26"/>
        <w:szCs w:val="26"/>
      </w:rPr>
      <w:t>June, 2013</w:t>
    </w:r>
    <w:r w:rsidRPr="00AE448D">
      <w:rPr>
        <w:rFonts w:asciiTheme="majorHAnsi" w:hAnsiTheme="majorHAnsi"/>
        <w:sz w:val="26"/>
        <w:szCs w:val="26"/>
      </w:rPr>
      <w:ptab w:relativeTo="margin" w:alignment="right" w:leader="none"/>
    </w:r>
    <w:r w:rsidRPr="00AE448D">
      <w:rPr>
        <w:rFonts w:asciiTheme="majorHAnsi" w:hAnsiTheme="majorHAnsi"/>
        <w:sz w:val="26"/>
        <w:szCs w:val="26"/>
      </w:rPr>
      <w:t xml:space="preserve">Page </w:t>
    </w:r>
    <w:r w:rsidR="00E3348F" w:rsidRPr="00AE448D">
      <w:rPr>
        <w:sz w:val="26"/>
        <w:szCs w:val="26"/>
      </w:rPr>
      <w:fldChar w:fldCharType="begin"/>
    </w:r>
    <w:r w:rsidRPr="00AE448D">
      <w:rPr>
        <w:sz w:val="26"/>
        <w:szCs w:val="26"/>
      </w:rPr>
      <w:instrText xml:space="preserve"> PAGE   \* MERGEFORMAT </w:instrText>
    </w:r>
    <w:r w:rsidR="00E3348F" w:rsidRPr="00AE448D">
      <w:rPr>
        <w:sz w:val="26"/>
        <w:szCs w:val="26"/>
      </w:rPr>
      <w:fldChar w:fldCharType="separate"/>
    </w:r>
    <w:r w:rsidR="008C4701" w:rsidRPr="008C4701">
      <w:rPr>
        <w:rFonts w:asciiTheme="majorHAnsi" w:hAnsiTheme="majorHAnsi"/>
        <w:noProof/>
        <w:sz w:val="26"/>
        <w:szCs w:val="26"/>
      </w:rPr>
      <w:t>21</w:t>
    </w:r>
    <w:r w:rsidR="00E3348F" w:rsidRPr="00AE448D">
      <w:rPr>
        <w:sz w:val="26"/>
        <w:szCs w:val="26"/>
      </w:rPr>
      <w:fldChar w:fldCharType="end"/>
    </w:r>
  </w:p>
  <w:p w:rsidR="0088731D" w:rsidRDefault="00887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1" w:rsidRDefault="00ED4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D6" w:rsidRDefault="007124D6" w:rsidP="0088731D">
      <w:r>
        <w:separator/>
      </w:r>
    </w:p>
  </w:footnote>
  <w:footnote w:type="continuationSeparator" w:id="1">
    <w:p w:rsidR="007124D6" w:rsidRDefault="007124D6" w:rsidP="0088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1" w:rsidRDefault="00ED4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1D" w:rsidRDefault="0088731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sdt>
    <w:sdtPr>
      <w:rPr>
        <w:sz w:val="28"/>
        <w:szCs w:val="28"/>
      </w:rPr>
      <w:alias w:val="Author"/>
      <w:id w:val="77887908"/>
      <w:placeholder>
        <w:docPart w:val="74A413C86E114D46B4FBD30D580E5B6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8731D" w:rsidRDefault="0088731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ED4291">
          <w:rPr>
            <w:sz w:val="28"/>
            <w:szCs w:val="28"/>
          </w:rPr>
          <w:t>Results</w:t>
        </w:r>
      </w:p>
    </w:sdtContent>
  </w:sdt>
  <w:p w:rsidR="0088731D" w:rsidRDefault="008873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1" w:rsidRDefault="00ED4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65F"/>
    <w:rsid w:val="002A73D7"/>
    <w:rsid w:val="00460ED1"/>
    <w:rsid w:val="007124D6"/>
    <w:rsid w:val="0075165F"/>
    <w:rsid w:val="0088731D"/>
    <w:rsid w:val="008C4701"/>
    <w:rsid w:val="00A304BE"/>
    <w:rsid w:val="00A62D47"/>
    <w:rsid w:val="00AE448D"/>
    <w:rsid w:val="00C05EEC"/>
    <w:rsid w:val="00CF32A2"/>
    <w:rsid w:val="00D3360F"/>
    <w:rsid w:val="00DE623C"/>
    <w:rsid w:val="00E3348F"/>
    <w:rsid w:val="00ED4291"/>
    <w:rsid w:val="00F7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5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5F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pacing w:val="0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5F"/>
    <w:rPr>
      <w:rFonts w:ascii="Tahoma" w:eastAsia="Times New Roman" w:hAnsi="Tahoma" w:cs="Tahoma"/>
      <w:b w:val="0"/>
      <w:bCs w:val="0"/>
      <w:color w:val="auto"/>
      <w:spacing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1D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1D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ASTRO%20INTESTINAL%20PARASITE\New%20folder%20(2)\graph+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view3D>
      <c:rAngAx val="1"/>
    </c:view3D>
    <c:plotArea>
      <c:layout>
        <c:manualLayout>
          <c:layoutTarget val="inner"/>
          <c:xMode val="edge"/>
          <c:yMode val="edge"/>
          <c:x val="0.12872900278584751"/>
          <c:y val="3.0262214797749851E-2"/>
          <c:w val="0.87001267681100469"/>
          <c:h val="0.70368111080513462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1"/>
              </a:solidFill>
            </c:spPr>
          </c:dPt>
          <c:dPt>
            <c:idx val="5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6"/>
            <c:spPr>
              <a:solidFill>
                <a:schemeClr val="tx2">
                  <a:lumMod val="75000"/>
                </a:schemeClr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Pt>
            <c:idx val="9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1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Sheet2!$A$3:$A$14</c:f>
              <c:strCache>
                <c:ptCount val="12"/>
                <c:pt idx="0">
                  <c:v>Balantidium coli (cyst)</c:v>
                </c:pt>
                <c:pt idx="1">
                  <c:v>B. coli (trophozoit)</c:v>
                </c:pt>
                <c:pt idx="2">
                  <c:v>Eimeria</c:v>
                </c:pt>
                <c:pt idx="3">
                  <c:v>Toxocara</c:v>
                </c:pt>
                <c:pt idx="4">
                  <c:v>Moneizia</c:v>
                </c:pt>
                <c:pt idx="5">
                  <c:v>Bunostomum</c:v>
                </c:pt>
                <c:pt idx="6">
                  <c:v>Paramphistomum</c:v>
                </c:pt>
                <c:pt idx="7">
                  <c:v>Strongyloides</c:v>
                </c:pt>
                <c:pt idx="8">
                  <c:v>Trychostrongylus</c:v>
                </c:pt>
                <c:pt idx="9">
                  <c:v>Trichuris</c:v>
                </c:pt>
                <c:pt idx="10">
                  <c:v>Haemonchus</c:v>
                </c:pt>
                <c:pt idx="11">
                  <c:v>Overall</c:v>
                </c:pt>
              </c:strCache>
            </c:strRef>
          </c:cat>
          <c:val>
            <c:numRef>
              <c:f>Sheet2!$B$3:$B$14</c:f>
              <c:numCache>
                <c:formatCode>General</c:formatCode>
                <c:ptCount val="12"/>
                <c:pt idx="0">
                  <c:v>28</c:v>
                </c:pt>
                <c:pt idx="1">
                  <c:v>20</c:v>
                </c:pt>
                <c:pt idx="2">
                  <c:v>17</c:v>
                </c:pt>
                <c:pt idx="3">
                  <c:v>19</c:v>
                </c:pt>
                <c:pt idx="4">
                  <c:v>22</c:v>
                </c:pt>
                <c:pt idx="5">
                  <c:v>10</c:v>
                </c:pt>
                <c:pt idx="6">
                  <c:v>17</c:v>
                </c:pt>
                <c:pt idx="7">
                  <c:v>15</c:v>
                </c:pt>
                <c:pt idx="8">
                  <c:v>5</c:v>
                </c:pt>
                <c:pt idx="9">
                  <c:v>14</c:v>
                </c:pt>
                <c:pt idx="10">
                  <c:v>8</c:v>
                </c:pt>
                <c:pt idx="11">
                  <c:v>85</c:v>
                </c:pt>
              </c:numCache>
            </c:numRef>
          </c:val>
        </c:ser>
        <c:shape val="cylinder"/>
        <c:axId val="76962048"/>
        <c:axId val="76963840"/>
        <c:axId val="0"/>
      </c:bar3DChart>
      <c:catAx>
        <c:axId val="769620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da-DK" b="1"/>
            </a:pPr>
            <a:endParaRPr lang="en-US"/>
          </a:p>
        </c:txPr>
        <c:crossAx val="76963840"/>
        <c:crosses val="autoZero"/>
        <c:auto val="1"/>
        <c:lblAlgn val="ctr"/>
        <c:lblOffset val="100"/>
      </c:catAx>
      <c:valAx>
        <c:axId val="76963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da-DK" sz="1200" baseline="0"/>
                </a:pPr>
                <a:r>
                  <a:rPr lang="da-DK" sz="1200" baseline="0"/>
                  <a:t>Prevalence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da-DK" b="1"/>
            </a:pPr>
            <a:endParaRPr lang="en-US"/>
          </a:p>
        </c:txPr>
        <c:crossAx val="76962048"/>
        <c:crosses val="autoZero"/>
        <c:crossBetween val="between"/>
      </c:valAx>
    </c:plotArea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A413C86E114D46B4FBD30D580E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751A-C8D4-4E10-8553-C853370DAE2A}"/>
      </w:docPartPr>
      <w:docPartBody>
        <w:p w:rsidR="00E67189" w:rsidRDefault="00C74410" w:rsidP="00C74410">
          <w:pPr>
            <w:pStyle w:val="74A413C86E114D46B4FBD30D580E5B6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4410"/>
    <w:rsid w:val="00260ED1"/>
    <w:rsid w:val="00C74410"/>
    <w:rsid w:val="00E67189"/>
    <w:rsid w:val="00F5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3A16B66D5460BBEEBDB05CE12CA62">
    <w:name w:val="0113A16B66D5460BBEEBDB05CE12CA62"/>
    <w:rsid w:val="00C74410"/>
  </w:style>
  <w:style w:type="paragraph" w:customStyle="1" w:styleId="8B00BA5284254E708D913F2F4B0E6D57">
    <w:name w:val="8B00BA5284254E708D913F2F4B0E6D57"/>
    <w:rsid w:val="00C74410"/>
  </w:style>
  <w:style w:type="paragraph" w:customStyle="1" w:styleId="74A413C86E114D46B4FBD30D580E5B62">
    <w:name w:val="74A413C86E114D46B4FBD30D580E5B62"/>
    <w:rsid w:val="00C74410"/>
  </w:style>
  <w:style w:type="paragraph" w:customStyle="1" w:styleId="CC1844E566C94984B1543C579F09C707">
    <w:name w:val="CC1844E566C94984B1543C579F09C707"/>
    <w:rsid w:val="00C744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Results</dc:creator>
  <cp:lastModifiedBy>User</cp:lastModifiedBy>
  <cp:revision>7</cp:revision>
  <dcterms:created xsi:type="dcterms:W3CDTF">2013-06-11T16:59:00Z</dcterms:created>
  <dcterms:modified xsi:type="dcterms:W3CDTF">2013-06-12T05:18:00Z</dcterms:modified>
</cp:coreProperties>
</file>