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42" w:rsidRPr="00596FFE" w:rsidRDefault="00083C42" w:rsidP="009E0C3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596FFE">
        <w:rPr>
          <w:rFonts w:cstheme="minorHAnsi"/>
          <w:b/>
          <w:sz w:val="32"/>
          <w:szCs w:val="32"/>
        </w:rPr>
        <w:t>CHAPTER III</w:t>
      </w:r>
    </w:p>
    <w:p w:rsidR="00083C42" w:rsidRPr="00596FFE" w:rsidRDefault="00083C42" w:rsidP="009E0C3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596FFE">
        <w:rPr>
          <w:rFonts w:cstheme="minorHAnsi"/>
          <w:b/>
          <w:sz w:val="28"/>
          <w:szCs w:val="28"/>
        </w:rPr>
        <w:t>MATERIALS AND METHODS</w:t>
      </w:r>
    </w:p>
    <w:p w:rsidR="00BD77A5" w:rsidRPr="00596FFE" w:rsidRDefault="00083C42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b/>
          <w:sz w:val="24"/>
          <w:szCs w:val="24"/>
        </w:rPr>
        <w:t>3.1. Location and duration of the study:</w:t>
      </w:r>
      <w:r w:rsidRPr="00596FFE">
        <w:rPr>
          <w:rFonts w:cstheme="minorHAnsi"/>
          <w:sz w:val="24"/>
          <w:szCs w:val="24"/>
        </w:rPr>
        <w:t xml:space="preserve"> </w:t>
      </w:r>
    </w:p>
    <w:p w:rsidR="00BD77A5" w:rsidRPr="00596FFE" w:rsidRDefault="00083C42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The study was conducted</w:t>
      </w:r>
      <w:r w:rsidR="000E363A" w:rsidRPr="00596FFE">
        <w:rPr>
          <w:rFonts w:cstheme="minorHAnsi"/>
          <w:sz w:val="24"/>
          <w:szCs w:val="24"/>
        </w:rPr>
        <w:t xml:space="preserve"> at T</w:t>
      </w:r>
      <w:r w:rsidR="00954106" w:rsidRPr="00596FFE">
        <w:rPr>
          <w:rFonts w:cstheme="minorHAnsi"/>
          <w:sz w:val="24"/>
          <w:szCs w:val="24"/>
        </w:rPr>
        <w:t>eaching</w:t>
      </w:r>
      <w:r w:rsidRPr="00596FFE">
        <w:rPr>
          <w:rFonts w:cstheme="minorHAnsi"/>
          <w:sz w:val="24"/>
          <w:szCs w:val="24"/>
        </w:rPr>
        <w:t xml:space="preserve"> Veterinary Hospital</w:t>
      </w:r>
      <w:r w:rsidR="00954106" w:rsidRPr="00596FFE">
        <w:rPr>
          <w:rFonts w:cstheme="minorHAnsi"/>
          <w:sz w:val="24"/>
          <w:szCs w:val="24"/>
        </w:rPr>
        <w:t xml:space="preserve"> at CVASU</w:t>
      </w:r>
      <w:r w:rsidRPr="00596FFE">
        <w:rPr>
          <w:rFonts w:cstheme="minorHAnsi"/>
          <w:sz w:val="24"/>
          <w:szCs w:val="24"/>
        </w:rPr>
        <w:t xml:space="preserve"> from </w:t>
      </w:r>
      <w:r w:rsidR="00697578" w:rsidRPr="00596FFE">
        <w:rPr>
          <w:rFonts w:cstheme="minorHAnsi"/>
          <w:sz w:val="24"/>
          <w:szCs w:val="24"/>
        </w:rPr>
        <w:t>first</w:t>
      </w:r>
      <w:r w:rsidRPr="00596FFE">
        <w:rPr>
          <w:rFonts w:cstheme="minorHAnsi"/>
          <w:sz w:val="24"/>
          <w:szCs w:val="24"/>
        </w:rPr>
        <w:t xml:space="preserve"> </w:t>
      </w:r>
      <w:r w:rsidR="00954106" w:rsidRPr="00596FFE">
        <w:rPr>
          <w:rFonts w:cstheme="minorHAnsi"/>
          <w:sz w:val="24"/>
          <w:szCs w:val="24"/>
        </w:rPr>
        <w:t>July 2014</w:t>
      </w:r>
      <w:r w:rsidRPr="00596FFE">
        <w:rPr>
          <w:rFonts w:cstheme="minorHAnsi"/>
          <w:sz w:val="24"/>
          <w:szCs w:val="24"/>
        </w:rPr>
        <w:t xml:space="preserve"> to </w:t>
      </w:r>
      <w:r w:rsidR="00954106" w:rsidRPr="00596FFE">
        <w:rPr>
          <w:rFonts w:cstheme="minorHAnsi"/>
          <w:sz w:val="24"/>
          <w:szCs w:val="24"/>
        </w:rPr>
        <w:t>3</w:t>
      </w:r>
      <w:r w:rsidR="00E36BC2" w:rsidRPr="00596FFE">
        <w:rPr>
          <w:rFonts w:cstheme="minorHAnsi"/>
          <w:sz w:val="24"/>
          <w:szCs w:val="24"/>
        </w:rPr>
        <w:t>0</w:t>
      </w:r>
      <w:r w:rsidRPr="00596FFE">
        <w:rPr>
          <w:rFonts w:cstheme="minorHAnsi"/>
          <w:sz w:val="24"/>
          <w:szCs w:val="24"/>
          <w:vertAlign w:val="superscript"/>
        </w:rPr>
        <w:t>th</w:t>
      </w:r>
      <w:r w:rsidRPr="00596FFE">
        <w:rPr>
          <w:rFonts w:cstheme="minorHAnsi"/>
          <w:sz w:val="24"/>
          <w:szCs w:val="24"/>
        </w:rPr>
        <w:t xml:space="preserve"> </w:t>
      </w:r>
      <w:r w:rsidR="00954106" w:rsidRPr="00596FFE">
        <w:rPr>
          <w:rFonts w:cstheme="minorHAnsi"/>
          <w:sz w:val="24"/>
          <w:szCs w:val="24"/>
        </w:rPr>
        <w:t>september 2014.</w:t>
      </w:r>
    </w:p>
    <w:p w:rsidR="006865CC" w:rsidRPr="00596FFE" w:rsidRDefault="006865CC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b/>
          <w:sz w:val="24"/>
          <w:szCs w:val="24"/>
        </w:rPr>
        <w:t xml:space="preserve">  </w:t>
      </w:r>
      <w:r w:rsidR="000E363A" w:rsidRPr="00596FFE">
        <w:rPr>
          <w:rFonts w:cstheme="minorHAnsi"/>
          <w:b/>
          <w:sz w:val="24"/>
          <w:szCs w:val="24"/>
        </w:rPr>
        <w:t>3.2</w:t>
      </w:r>
      <w:r w:rsidRPr="00596FFE">
        <w:rPr>
          <w:rFonts w:cstheme="minorHAnsi"/>
          <w:b/>
          <w:sz w:val="24"/>
          <w:szCs w:val="24"/>
        </w:rPr>
        <w:t>.</w:t>
      </w:r>
      <w:r w:rsidRPr="00596FFE">
        <w:rPr>
          <w:rFonts w:cstheme="minorHAnsi"/>
          <w:sz w:val="24"/>
          <w:szCs w:val="24"/>
        </w:rPr>
        <w:t xml:space="preserve"> </w:t>
      </w:r>
      <w:r w:rsidRPr="00596FFE">
        <w:rPr>
          <w:rFonts w:cstheme="minorHAnsi"/>
          <w:b/>
          <w:sz w:val="24"/>
          <w:szCs w:val="24"/>
        </w:rPr>
        <w:t>Sample size</w:t>
      </w:r>
    </w:p>
    <w:p w:rsidR="00D47F6D" w:rsidRPr="00596FFE" w:rsidRDefault="006865CC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>The study was conducted on natural PPR infected goats of various age, sex and breed randomly over the study period. A number of cases were recorded i</w:t>
      </w:r>
      <w:r w:rsidR="00E36BC2" w:rsidRPr="00596FFE">
        <w:rPr>
          <w:rFonts w:asciiTheme="minorHAnsi" w:hAnsiTheme="minorHAnsi" w:cstheme="minorHAnsi"/>
          <w:sz w:val="24"/>
          <w:szCs w:val="24"/>
        </w:rPr>
        <w:t>n questionnaire</w:t>
      </w:r>
      <w:r w:rsidRPr="00596FFE">
        <w:rPr>
          <w:rFonts w:asciiTheme="minorHAnsi" w:hAnsiTheme="minorHAnsi" w:cstheme="minorHAnsi"/>
          <w:sz w:val="24"/>
          <w:szCs w:val="24"/>
        </w:rPr>
        <w:t xml:space="preserve">. In those cases goats were randomly selected, examined, </w:t>
      </w:r>
      <w:r w:rsidR="00E36BC2" w:rsidRPr="00596FFE">
        <w:rPr>
          <w:rFonts w:asciiTheme="minorHAnsi" w:hAnsiTheme="minorHAnsi" w:cstheme="minorHAnsi"/>
          <w:sz w:val="24"/>
          <w:szCs w:val="24"/>
        </w:rPr>
        <w:t>treated and follow up was taken in questionnaire.</w:t>
      </w:r>
    </w:p>
    <w:p w:rsidR="00D47F6D" w:rsidRPr="00596FFE" w:rsidRDefault="00D47F6D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D77A5" w:rsidRPr="00596FFE" w:rsidRDefault="006865CC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 xml:space="preserve"> </w:t>
      </w:r>
      <w:r w:rsidR="000E363A" w:rsidRPr="00596FFE">
        <w:rPr>
          <w:rFonts w:asciiTheme="minorHAnsi" w:hAnsiTheme="minorHAnsi" w:cstheme="minorHAnsi"/>
          <w:b/>
          <w:sz w:val="24"/>
          <w:szCs w:val="24"/>
        </w:rPr>
        <w:t>3.3</w:t>
      </w:r>
      <w:r w:rsidR="00D47F6D" w:rsidRPr="00596FFE">
        <w:rPr>
          <w:rFonts w:asciiTheme="minorHAnsi" w:hAnsiTheme="minorHAnsi" w:cstheme="minorHAnsi"/>
          <w:b/>
          <w:sz w:val="24"/>
          <w:szCs w:val="24"/>
        </w:rPr>
        <w:t>. Recording of signs and symptoms</w:t>
      </w:r>
      <w:r w:rsidR="00BD77A5" w:rsidRPr="00596FFE">
        <w:rPr>
          <w:rFonts w:asciiTheme="minorHAnsi" w:hAnsiTheme="minorHAnsi" w:cstheme="minorHAnsi"/>
          <w:b/>
          <w:sz w:val="24"/>
          <w:szCs w:val="24"/>
        </w:rPr>
        <w:t>:</w:t>
      </w:r>
    </w:p>
    <w:p w:rsidR="00D47F6D" w:rsidRPr="00596FFE" w:rsidRDefault="00BD77A5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 xml:space="preserve"> D</w:t>
      </w:r>
      <w:r w:rsidR="00D47F6D" w:rsidRPr="00596FFE">
        <w:rPr>
          <w:rFonts w:asciiTheme="minorHAnsi" w:hAnsiTheme="minorHAnsi" w:cstheme="minorHAnsi"/>
          <w:sz w:val="24"/>
          <w:szCs w:val="24"/>
        </w:rPr>
        <w:t>ifferent exposed signs and symptoms were recorded carefully by close in</w:t>
      </w:r>
      <w:r w:rsidR="00657654" w:rsidRPr="00596FFE">
        <w:rPr>
          <w:rFonts w:asciiTheme="minorHAnsi" w:hAnsiTheme="minorHAnsi" w:cstheme="minorHAnsi"/>
          <w:sz w:val="24"/>
          <w:szCs w:val="24"/>
        </w:rPr>
        <w:t>sp</w:t>
      </w:r>
      <w:r w:rsidR="00D47F6D" w:rsidRPr="00596FFE">
        <w:rPr>
          <w:rFonts w:asciiTheme="minorHAnsi" w:hAnsiTheme="minorHAnsi" w:cstheme="minorHAnsi"/>
          <w:sz w:val="24"/>
          <w:szCs w:val="24"/>
        </w:rPr>
        <w:t>ection like erosion of oral mucosa, discharges from eyes, nose, mouth, rough coat, soiled hind quarter, anorexia, depression. Temperatures were recorded by indirect palpation per rectum by thermometer</w:t>
      </w:r>
      <w:r w:rsidR="00657654" w:rsidRPr="00596FFE">
        <w:rPr>
          <w:rFonts w:asciiTheme="minorHAnsi" w:hAnsiTheme="minorHAnsi" w:cstheme="minorHAnsi"/>
          <w:sz w:val="24"/>
          <w:szCs w:val="24"/>
        </w:rPr>
        <w:t xml:space="preserve"> and </w:t>
      </w:r>
      <w:r w:rsidR="00D47F6D" w:rsidRPr="00596FFE">
        <w:rPr>
          <w:rFonts w:asciiTheme="minorHAnsi" w:hAnsiTheme="minorHAnsi" w:cstheme="minorHAnsi"/>
          <w:sz w:val="24"/>
          <w:szCs w:val="24"/>
        </w:rPr>
        <w:t xml:space="preserve">every case </w:t>
      </w:r>
      <w:r w:rsidR="00E36BC2" w:rsidRPr="00596FFE">
        <w:rPr>
          <w:rFonts w:asciiTheme="minorHAnsi" w:hAnsiTheme="minorHAnsi" w:cstheme="minorHAnsi"/>
          <w:sz w:val="24"/>
          <w:szCs w:val="24"/>
        </w:rPr>
        <w:t>tabulated. Indirect</w:t>
      </w:r>
      <w:r w:rsidR="00D47F6D" w:rsidRPr="00596FFE">
        <w:rPr>
          <w:rFonts w:asciiTheme="minorHAnsi" w:hAnsiTheme="minorHAnsi" w:cstheme="minorHAnsi"/>
          <w:sz w:val="24"/>
          <w:szCs w:val="24"/>
        </w:rPr>
        <w:t xml:space="preserve"> auscultation was performed to hear the lung and tracheal sound to coincide</w:t>
      </w:r>
      <w:r w:rsidR="00104607" w:rsidRPr="00596FFE">
        <w:rPr>
          <w:rFonts w:asciiTheme="minorHAnsi" w:hAnsiTheme="minorHAnsi" w:cstheme="minorHAnsi"/>
          <w:sz w:val="24"/>
          <w:szCs w:val="24"/>
        </w:rPr>
        <w:t xml:space="preserve"> with the symptoms of pneumonia.</w:t>
      </w:r>
      <w:r w:rsidR="00733012" w:rsidRPr="00596FFE">
        <w:rPr>
          <w:rFonts w:asciiTheme="minorHAnsi" w:hAnsiTheme="minorHAnsi" w:cstheme="minorHAnsi"/>
          <w:sz w:val="24"/>
          <w:szCs w:val="24"/>
        </w:rPr>
        <w:t xml:space="preserve"> </w:t>
      </w:r>
      <w:r w:rsidR="00D47F6D" w:rsidRPr="00596FFE">
        <w:rPr>
          <w:rFonts w:asciiTheme="minorHAnsi" w:hAnsiTheme="minorHAnsi" w:cstheme="minorHAnsi"/>
          <w:sz w:val="24"/>
          <w:szCs w:val="24"/>
        </w:rPr>
        <w:t xml:space="preserve">Skin fold test were performed to take the rough estimation of the degree of </w:t>
      </w:r>
      <w:r w:rsidR="00E36BC2" w:rsidRPr="00596FFE">
        <w:rPr>
          <w:rFonts w:asciiTheme="minorHAnsi" w:hAnsiTheme="minorHAnsi" w:cstheme="minorHAnsi"/>
          <w:sz w:val="24"/>
          <w:szCs w:val="24"/>
        </w:rPr>
        <w:t>dehydration. Presumptive</w:t>
      </w:r>
      <w:r w:rsidR="00D47F6D" w:rsidRPr="00596FFE">
        <w:rPr>
          <w:rFonts w:asciiTheme="minorHAnsi" w:hAnsiTheme="minorHAnsi" w:cstheme="minorHAnsi"/>
          <w:sz w:val="24"/>
          <w:szCs w:val="24"/>
        </w:rPr>
        <w:t xml:space="preserve"> diagnosis was made on the basis of the anamnesis and observed clinical signs and symptoms.</w:t>
      </w:r>
    </w:p>
    <w:p w:rsidR="00E36BC2" w:rsidRPr="00596FFE" w:rsidRDefault="00E36BC2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FF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47F6D" w:rsidRPr="00596FFE" w:rsidRDefault="000E363A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b/>
          <w:sz w:val="24"/>
          <w:szCs w:val="24"/>
        </w:rPr>
        <w:t>3.4</w:t>
      </w:r>
      <w:r w:rsidR="00D47F6D" w:rsidRPr="00596FFE">
        <w:rPr>
          <w:rFonts w:asciiTheme="minorHAnsi" w:hAnsiTheme="minorHAnsi" w:cstheme="minorHAnsi"/>
          <w:b/>
          <w:sz w:val="24"/>
          <w:szCs w:val="24"/>
        </w:rPr>
        <w:t>. Criteria for diagnosis of PPR</w:t>
      </w:r>
      <w:r w:rsidR="00D47F6D" w:rsidRPr="00596F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7F6D" w:rsidRPr="00596FFE" w:rsidRDefault="00D47F6D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>In this study, population groups were divided in two, depending upon the early stage and later stage of clinical signs and symptoms. PPR consists of 5 phases of infection cycle as incubation period, prodromal phase, erosive phase, pneumonic phase, diarrh</w:t>
      </w:r>
      <w:r w:rsidR="00657654" w:rsidRPr="00596FFE">
        <w:rPr>
          <w:rFonts w:asciiTheme="minorHAnsi" w:hAnsiTheme="minorHAnsi" w:cstheme="minorHAnsi"/>
          <w:sz w:val="24"/>
          <w:szCs w:val="24"/>
        </w:rPr>
        <w:t>o</w:t>
      </w:r>
      <w:r w:rsidRPr="00596FFE">
        <w:rPr>
          <w:rFonts w:asciiTheme="minorHAnsi" w:hAnsiTheme="minorHAnsi" w:cstheme="minorHAnsi"/>
          <w:sz w:val="24"/>
          <w:szCs w:val="24"/>
        </w:rPr>
        <w:t>ea and death (BLRI, 1999).</w:t>
      </w:r>
      <w:r w:rsidR="00E67E98" w:rsidRPr="00596FFE">
        <w:rPr>
          <w:rFonts w:asciiTheme="minorHAnsi" w:hAnsiTheme="minorHAnsi" w:cstheme="minorHAnsi"/>
          <w:sz w:val="24"/>
          <w:szCs w:val="24"/>
        </w:rPr>
        <w:t xml:space="preserve"> </w:t>
      </w:r>
      <w:r w:rsidRPr="00596FFE">
        <w:rPr>
          <w:rFonts w:asciiTheme="minorHAnsi" w:hAnsiTheme="minorHAnsi" w:cstheme="minorHAnsi"/>
          <w:sz w:val="24"/>
          <w:szCs w:val="24"/>
        </w:rPr>
        <w:t>Here prodromal and erosive phase was considered as early stage and pneumonic phase and diarrhea as later stage of infection.</w:t>
      </w:r>
      <w:r w:rsidR="00657654" w:rsidRPr="00596FFE">
        <w:rPr>
          <w:rFonts w:asciiTheme="minorHAnsi" w:hAnsiTheme="minorHAnsi" w:cstheme="minorHAnsi"/>
          <w:sz w:val="24"/>
          <w:szCs w:val="24"/>
        </w:rPr>
        <w:t xml:space="preserve"> </w:t>
      </w:r>
      <w:r w:rsidRPr="00596FFE">
        <w:rPr>
          <w:rFonts w:asciiTheme="minorHAnsi" w:hAnsiTheme="minorHAnsi" w:cstheme="minorHAnsi"/>
          <w:sz w:val="24"/>
          <w:szCs w:val="24"/>
        </w:rPr>
        <w:t xml:space="preserve">Infected animal of early stage showed sharp rise of temperature (104°F-106°F), impaired appetite, depression, erected hair, serous nasal discharge, </w:t>
      </w:r>
      <w:r w:rsidRPr="00596FFE">
        <w:rPr>
          <w:rFonts w:asciiTheme="minorHAnsi" w:hAnsiTheme="minorHAnsi" w:cstheme="minorHAnsi"/>
          <w:sz w:val="24"/>
          <w:szCs w:val="24"/>
        </w:rPr>
        <w:lastRenderedPageBreak/>
        <w:t>sneezing, congestive oral mucosa and later erosion in the lip, buccal mucosa, gum, dental pad, palate, tongue and nasal passage.</w:t>
      </w:r>
      <w:r w:rsidRPr="00596FFE">
        <w:rPr>
          <w:rFonts w:asciiTheme="minorHAnsi" w:eastAsia="Times New Roman" w:hAnsiTheme="minorHAnsi" w:cstheme="minorHAnsi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E67E98" w:rsidRPr="00596FFE">
        <w:rPr>
          <w:rFonts w:asciiTheme="minorHAnsi" w:eastAsia="Times New Roman" w:hAnsiTheme="minorHAnsi" w:cstheme="minorHAnsi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       </w:t>
      </w:r>
    </w:p>
    <w:p w:rsidR="000D6319" w:rsidRPr="00596FFE" w:rsidRDefault="000D6319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47F6D" w:rsidRPr="00596FFE" w:rsidRDefault="00407CAD" w:rsidP="009E0C3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>Where</w:t>
      </w:r>
      <w:r w:rsidR="00D47F6D" w:rsidRPr="00596FFE">
        <w:rPr>
          <w:rFonts w:asciiTheme="minorHAnsi" w:hAnsiTheme="minorHAnsi" w:cstheme="minorHAnsi"/>
          <w:sz w:val="24"/>
          <w:szCs w:val="24"/>
        </w:rPr>
        <w:t>as in later stage, the animal showed mucopurulent to purulent nasal discharge which may encrusted and matted over the mouth. Pneumonia, severe dyspnoea, diarrh</w:t>
      </w:r>
      <w:r w:rsidR="00657654" w:rsidRPr="00596FFE">
        <w:rPr>
          <w:rFonts w:asciiTheme="minorHAnsi" w:hAnsiTheme="minorHAnsi" w:cstheme="minorHAnsi"/>
          <w:sz w:val="24"/>
          <w:szCs w:val="24"/>
        </w:rPr>
        <w:t>o</w:t>
      </w:r>
      <w:r w:rsidR="00D47F6D" w:rsidRPr="00596FFE">
        <w:rPr>
          <w:rFonts w:asciiTheme="minorHAnsi" w:hAnsiTheme="minorHAnsi" w:cstheme="minorHAnsi"/>
          <w:sz w:val="24"/>
          <w:szCs w:val="24"/>
        </w:rPr>
        <w:t>ea with dark brown colored fluid faeces with necroting debrise streaked with blood.</w:t>
      </w:r>
      <w:r w:rsidR="00657654" w:rsidRPr="00596FFE">
        <w:rPr>
          <w:rFonts w:asciiTheme="minorHAnsi" w:hAnsiTheme="minorHAnsi" w:cstheme="minorHAnsi"/>
          <w:sz w:val="24"/>
          <w:szCs w:val="24"/>
        </w:rPr>
        <w:t xml:space="preserve"> </w:t>
      </w:r>
      <w:r w:rsidR="00D47F6D" w:rsidRPr="00596FFE">
        <w:rPr>
          <w:rFonts w:asciiTheme="minorHAnsi" w:hAnsiTheme="minorHAnsi" w:cstheme="minorHAnsi"/>
          <w:sz w:val="24"/>
          <w:szCs w:val="24"/>
        </w:rPr>
        <w:t>Temperature regresses with advancing dehydration and emaciation.</w:t>
      </w:r>
    </w:p>
    <w:p w:rsidR="00BD77A5" w:rsidRPr="00596FFE" w:rsidRDefault="000E363A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b/>
          <w:sz w:val="24"/>
          <w:szCs w:val="24"/>
        </w:rPr>
        <w:t>3.5</w:t>
      </w:r>
      <w:r w:rsidR="00083C42" w:rsidRPr="00596FFE">
        <w:rPr>
          <w:rFonts w:cstheme="minorHAnsi"/>
          <w:b/>
          <w:sz w:val="24"/>
          <w:szCs w:val="24"/>
        </w:rPr>
        <w:t>. Postmortem examination:</w:t>
      </w:r>
      <w:r w:rsidR="00083C42" w:rsidRPr="00596FFE">
        <w:rPr>
          <w:rFonts w:cstheme="minorHAnsi"/>
          <w:sz w:val="24"/>
          <w:szCs w:val="24"/>
        </w:rPr>
        <w:t xml:space="preserve"> </w:t>
      </w:r>
    </w:p>
    <w:p w:rsidR="00083C42" w:rsidRPr="00596FFE" w:rsidRDefault="00083C42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Three dead animals were subjected for postmortem examinations. A PPR case was tentatively diagnosed if postmortem examinations revealed the presence of the changes: consolidated and pneumonic lungs, erosive and hemorrhagic enteritis, characteristics Zebra striping in the mucosa in the colon, necrosis and hemorrhagic plugs in the cecum.</w:t>
      </w:r>
      <w:r w:rsidR="00A92D8D" w:rsidRPr="00596FFE">
        <w:rPr>
          <w:rFonts w:cstheme="minorHAnsi"/>
          <w:sz w:val="24"/>
          <w:szCs w:val="24"/>
        </w:rPr>
        <w:t xml:space="preserve"> </w:t>
      </w:r>
      <w:r w:rsidR="00734D1C" w:rsidRPr="00596FFE">
        <w:rPr>
          <w:rFonts w:cstheme="minorHAnsi"/>
          <w:sz w:val="24"/>
          <w:szCs w:val="24"/>
        </w:rPr>
        <w:t xml:space="preserve">(Chauhan </w:t>
      </w:r>
      <w:r w:rsidR="00734D1C" w:rsidRPr="00596FFE">
        <w:rPr>
          <w:rFonts w:cstheme="minorHAnsi"/>
          <w:i/>
          <w:sz w:val="24"/>
          <w:szCs w:val="24"/>
        </w:rPr>
        <w:t>et al.,</w:t>
      </w:r>
      <w:r w:rsidR="00A92D8D" w:rsidRPr="00596FFE">
        <w:rPr>
          <w:rFonts w:cstheme="minorHAnsi"/>
          <w:i/>
          <w:sz w:val="24"/>
          <w:szCs w:val="24"/>
        </w:rPr>
        <w:t xml:space="preserve"> </w:t>
      </w:r>
      <w:r w:rsidR="00734D1C" w:rsidRPr="00596FFE">
        <w:rPr>
          <w:rFonts w:cstheme="minorHAnsi"/>
          <w:sz w:val="24"/>
          <w:szCs w:val="24"/>
        </w:rPr>
        <w:t>2009</w:t>
      </w:r>
      <w:r w:rsidR="00734D1C" w:rsidRPr="00596FFE">
        <w:rPr>
          <w:rFonts w:cstheme="minorHAnsi"/>
          <w:i/>
          <w:sz w:val="24"/>
          <w:szCs w:val="24"/>
        </w:rPr>
        <w:t>)</w:t>
      </w:r>
    </w:p>
    <w:p w:rsidR="00BD77A5" w:rsidRPr="00596FFE" w:rsidRDefault="000E363A" w:rsidP="009E0C3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96FFE">
        <w:rPr>
          <w:rFonts w:cstheme="minorHAnsi"/>
          <w:b/>
          <w:sz w:val="24"/>
          <w:szCs w:val="24"/>
        </w:rPr>
        <w:t>3.6. Presumptive diagnosis:</w:t>
      </w:r>
    </w:p>
    <w:p w:rsidR="000E363A" w:rsidRPr="00596FFE" w:rsidRDefault="000E363A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On the basis of anamnesis, clinical examinations sometimes supported with postmortem examination findings presumptive diagnoses of PPR cases were made.</w:t>
      </w:r>
    </w:p>
    <w:p w:rsidR="00532B6B" w:rsidRPr="00596FFE" w:rsidRDefault="00532B6B" w:rsidP="00532B6B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FFE">
        <w:rPr>
          <w:rFonts w:asciiTheme="minorHAnsi" w:hAnsiTheme="minorHAnsi" w:cstheme="minorHAnsi"/>
          <w:b/>
          <w:sz w:val="24"/>
          <w:szCs w:val="24"/>
        </w:rPr>
        <w:t>3.7. Follow up treatment</w:t>
      </w:r>
    </w:p>
    <w:p w:rsidR="00402BDD" w:rsidRPr="00596FFE" w:rsidRDefault="00402BDD" w:rsidP="00402BD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96FFE">
        <w:rPr>
          <w:rFonts w:cstheme="minorHAnsi"/>
          <w:sz w:val="24"/>
          <w:szCs w:val="24"/>
        </w:rPr>
        <w:t>Symptomatic treatments were given from the two hospitals in 3 maj</w:t>
      </w:r>
      <w:r w:rsidR="00DB4CD3" w:rsidRPr="00596FFE">
        <w:rPr>
          <w:rFonts w:cstheme="minorHAnsi"/>
          <w:sz w:val="24"/>
          <w:szCs w:val="24"/>
        </w:rPr>
        <w:t>or groups, listed in section 3.8</w:t>
      </w:r>
      <w:r w:rsidRPr="00596FFE">
        <w:rPr>
          <w:rFonts w:cstheme="minorHAnsi"/>
          <w:sz w:val="24"/>
          <w:szCs w:val="24"/>
        </w:rPr>
        <w:t xml:space="preserve">. In addition to prescribing an antibiotic for every case antihistaminic and physiological saline were also recommended. The treatment of a PPR case continued until recovery or death of an animal if the owner brought the animal to the hospital in the subsequent days following registration to a hospital as a case of PPR.  </w:t>
      </w:r>
    </w:p>
    <w:p w:rsidR="00532B6B" w:rsidRPr="00596FFE" w:rsidRDefault="00532B6B" w:rsidP="00532B6B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 xml:space="preserve">The therapy regime was- </w:t>
      </w:r>
    </w:p>
    <w:p w:rsidR="00532B6B" w:rsidRPr="00596FFE" w:rsidRDefault="00532B6B" w:rsidP="00532B6B">
      <w:pPr>
        <w:pStyle w:val="ListParagraph"/>
        <w:numPr>
          <w:ilvl w:val="0"/>
          <w:numId w:val="2"/>
        </w:numPr>
        <w:spacing w:line="360" w:lineRule="auto"/>
        <w:ind w:left="1320" w:hanging="465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>Sulphadimidine (Diadin® ACI) @ 0.2 g per body wt. (3ml per 5 kg body wt.) in the first dose and ½ of the ini</w:t>
      </w:r>
      <w:r w:rsidR="00407CAD" w:rsidRPr="00596FFE">
        <w:rPr>
          <w:rFonts w:asciiTheme="minorHAnsi" w:hAnsiTheme="minorHAnsi" w:cstheme="minorHAnsi"/>
          <w:sz w:val="24"/>
          <w:szCs w:val="24"/>
        </w:rPr>
        <w:t xml:space="preserve">tial dose in subsequent days, </w:t>
      </w:r>
      <w:r w:rsidRPr="00596FFE">
        <w:rPr>
          <w:rFonts w:asciiTheme="minorHAnsi" w:hAnsiTheme="minorHAnsi" w:cstheme="minorHAnsi"/>
          <w:sz w:val="24"/>
          <w:szCs w:val="24"/>
        </w:rPr>
        <w:t>Intravenously.</w:t>
      </w:r>
    </w:p>
    <w:p w:rsidR="00532B6B" w:rsidRPr="00596FFE" w:rsidRDefault="00532B6B" w:rsidP="00402BDD">
      <w:pPr>
        <w:pStyle w:val="ListParagraph"/>
        <w:numPr>
          <w:ilvl w:val="0"/>
          <w:numId w:val="2"/>
        </w:numPr>
        <w:spacing w:line="360" w:lineRule="auto"/>
        <w:ind w:left="1320" w:hanging="465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>Gentamycin</w:t>
      </w:r>
      <w:r w:rsidR="00F26C94" w:rsidRPr="00596FFE">
        <w:rPr>
          <w:rFonts w:asciiTheme="minorHAnsi" w:hAnsiTheme="minorHAnsi" w:cstheme="minorHAnsi"/>
          <w:sz w:val="24"/>
          <w:szCs w:val="24"/>
        </w:rPr>
        <w:t xml:space="preserve">, </w:t>
      </w:r>
      <w:r w:rsidRPr="00596FFE">
        <w:rPr>
          <w:rFonts w:asciiTheme="minorHAnsi" w:hAnsiTheme="minorHAnsi" w:cstheme="minorHAnsi"/>
          <w:sz w:val="24"/>
          <w:szCs w:val="24"/>
        </w:rPr>
        <w:t>sulphonamide, streptomycin combination (Gentasone plus® Chemist) @ 10mg per kg bod</w:t>
      </w:r>
      <w:r w:rsidR="00657654" w:rsidRPr="00596FFE">
        <w:rPr>
          <w:rFonts w:asciiTheme="minorHAnsi" w:hAnsiTheme="minorHAnsi" w:cstheme="minorHAnsi"/>
          <w:sz w:val="24"/>
          <w:szCs w:val="24"/>
        </w:rPr>
        <w:t>y</w:t>
      </w:r>
      <w:r w:rsidR="00407CAD" w:rsidRPr="00596FFE">
        <w:rPr>
          <w:rFonts w:asciiTheme="minorHAnsi" w:hAnsiTheme="minorHAnsi" w:cstheme="minorHAnsi"/>
          <w:sz w:val="24"/>
          <w:szCs w:val="24"/>
        </w:rPr>
        <w:t xml:space="preserve"> wt.  (1ml per 10kg body wt.), </w:t>
      </w:r>
      <w:r w:rsidR="00657654" w:rsidRPr="00596FFE">
        <w:rPr>
          <w:rFonts w:asciiTheme="minorHAnsi" w:hAnsiTheme="minorHAnsi" w:cstheme="minorHAnsi"/>
          <w:sz w:val="24"/>
          <w:szCs w:val="24"/>
        </w:rPr>
        <w:t>Intramuscularly</w:t>
      </w:r>
      <w:r w:rsidR="00F26C94" w:rsidRPr="00596FFE">
        <w:rPr>
          <w:rFonts w:asciiTheme="minorHAnsi" w:hAnsiTheme="minorHAnsi" w:cstheme="minorHAnsi"/>
          <w:sz w:val="24"/>
          <w:szCs w:val="24"/>
        </w:rPr>
        <w:t xml:space="preserve"> </w:t>
      </w:r>
      <w:r w:rsidRPr="00596FFE">
        <w:rPr>
          <w:rFonts w:asciiTheme="minorHAnsi" w:hAnsiTheme="minorHAnsi" w:cstheme="minorHAnsi"/>
          <w:sz w:val="24"/>
          <w:szCs w:val="24"/>
        </w:rPr>
        <w:t>daily.</w:t>
      </w:r>
    </w:p>
    <w:p w:rsidR="00402BDD" w:rsidRPr="00596FFE" w:rsidRDefault="00532B6B" w:rsidP="00402BDD">
      <w:pPr>
        <w:pStyle w:val="ListParagraph"/>
        <w:numPr>
          <w:ilvl w:val="0"/>
          <w:numId w:val="2"/>
        </w:numPr>
        <w:spacing w:line="360" w:lineRule="auto"/>
        <w:ind w:left="1320" w:hanging="465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lastRenderedPageBreak/>
        <w:t>Promethazine hydrochloride (Dellergen® Renata ) @ 10mg per kg body wt. (2ml per 10kg) IM daily.</w:t>
      </w:r>
    </w:p>
    <w:p w:rsidR="00402BDD" w:rsidRPr="00596FFE" w:rsidRDefault="00402BDD" w:rsidP="00402BDD">
      <w:pPr>
        <w:pStyle w:val="ListParagraph"/>
        <w:numPr>
          <w:ilvl w:val="0"/>
          <w:numId w:val="2"/>
        </w:numPr>
        <w:spacing w:line="360" w:lineRule="auto"/>
        <w:ind w:left="1320" w:hanging="465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>Riboflabin (Tab.Ribosin)@ apply localy after grinding.</w:t>
      </w:r>
    </w:p>
    <w:p w:rsidR="00532B6B" w:rsidRPr="00596FFE" w:rsidRDefault="00532B6B" w:rsidP="00532B6B">
      <w:pPr>
        <w:pStyle w:val="ListParagraph"/>
        <w:numPr>
          <w:ilvl w:val="0"/>
          <w:numId w:val="2"/>
        </w:numPr>
        <w:spacing w:line="360" w:lineRule="auto"/>
        <w:ind w:left="1320" w:hanging="465"/>
        <w:jc w:val="both"/>
        <w:rPr>
          <w:rFonts w:asciiTheme="minorHAnsi" w:hAnsiTheme="minorHAnsi" w:cstheme="minorHAnsi"/>
          <w:sz w:val="24"/>
          <w:szCs w:val="24"/>
        </w:rPr>
      </w:pPr>
      <w:r w:rsidRPr="00596FFE">
        <w:rPr>
          <w:rFonts w:asciiTheme="minorHAnsi" w:hAnsiTheme="minorHAnsi" w:cstheme="minorHAnsi"/>
          <w:sz w:val="24"/>
          <w:szCs w:val="24"/>
        </w:rPr>
        <w:t>Intravenous fluid therapy(0.9% Sodium chloride solution)</w:t>
      </w:r>
    </w:p>
    <w:p w:rsidR="00BD77A5" w:rsidRPr="00596FFE" w:rsidRDefault="00532B6B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b/>
          <w:sz w:val="24"/>
          <w:szCs w:val="24"/>
        </w:rPr>
        <w:t>3.8</w:t>
      </w:r>
      <w:r w:rsidR="00083C42" w:rsidRPr="00596FFE">
        <w:rPr>
          <w:rFonts w:cstheme="minorHAnsi"/>
          <w:b/>
          <w:sz w:val="24"/>
          <w:szCs w:val="24"/>
        </w:rPr>
        <w:t>. Medication history:</w:t>
      </w:r>
    </w:p>
    <w:p w:rsidR="00083C42" w:rsidRPr="00596FFE" w:rsidRDefault="00083C42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Based on the medication histories all the PPR-affected goats were divided into three groups:</w:t>
      </w:r>
    </w:p>
    <w:p w:rsidR="00CC5740" w:rsidRPr="00596FFE" w:rsidRDefault="00083C42" w:rsidP="009E0C3C">
      <w:pPr>
        <w:spacing w:line="360" w:lineRule="auto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Group I: Goats receiving parenteral(I/V)  sulphonamide with other symptomatic therapy.</w:t>
      </w:r>
    </w:p>
    <w:p w:rsidR="00083C42" w:rsidRPr="00596FFE" w:rsidRDefault="00083C42" w:rsidP="009E0C3C">
      <w:pPr>
        <w:spacing w:line="360" w:lineRule="auto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Group II: Goats receiving parentera</w:t>
      </w:r>
      <w:r w:rsidR="00407CAD" w:rsidRPr="00596FFE">
        <w:rPr>
          <w:rFonts w:cstheme="minorHAnsi"/>
          <w:sz w:val="24"/>
          <w:szCs w:val="24"/>
        </w:rPr>
        <w:t xml:space="preserve">l(I/M) Gentamycin, sulphonamide, </w:t>
      </w:r>
      <w:r w:rsidRPr="00596FFE">
        <w:rPr>
          <w:rFonts w:cstheme="minorHAnsi"/>
          <w:sz w:val="24"/>
          <w:szCs w:val="24"/>
        </w:rPr>
        <w:t xml:space="preserve">streptomycin </w:t>
      </w:r>
      <w:r w:rsidR="00402BDD" w:rsidRPr="00596FFE">
        <w:rPr>
          <w:rFonts w:cstheme="minorHAnsi"/>
          <w:sz w:val="24"/>
          <w:szCs w:val="24"/>
        </w:rPr>
        <w:t xml:space="preserve"> </w:t>
      </w:r>
      <w:r w:rsidRPr="00596FFE">
        <w:rPr>
          <w:rFonts w:cstheme="minorHAnsi"/>
          <w:sz w:val="24"/>
          <w:szCs w:val="24"/>
        </w:rPr>
        <w:t>combination with other symptomatic therapy.</w:t>
      </w:r>
    </w:p>
    <w:p w:rsidR="00083C42" w:rsidRPr="00596FFE" w:rsidRDefault="00083C42" w:rsidP="009E0C3C">
      <w:pPr>
        <w:spacing w:line="360" w:lineRule="auto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Group III: Goats receiving parenteral</w:t>
      </w:r>
      <w:r w:rsidR="00407CAD" w:rsidRPr="00596FFE">
        <w:rPr>
          <w:rFonts w:cstheme="minorHAnsi"/>
          <w:sz w:val="24"/>
          <w:szCs w:val="24"/>
        </w:rPr>
        <w:t xml:space="preserve"> </w:t>
      </w:r>
      <w:r w:rsidRPr="00596FFE">
        <w:rPr>
          <w:rFonts w:cstheme="minorHAnsi"/>
          <w:sz w:val="24"/>
          <w:szCs w:val="24"/>
        </w:rPr>
        <w:t>(I/M)</w:t>
      </w:r>
      <w:r w:rsidR="00150ED7" w:rsidRPr="00596FFE">
        <w:rPr>
          <w:rFonts w:cstheme="minorHAnsi"/>
          <w:sz w:val="24"/>
          <w:szCs w:val="24"/>
        </w:rPr>
        <w:t xml:space="preserve"> Ciprofloxa</w:t>
      </w:r>
      <w:r w:rsidRPr="00596FFE">
        <w:rPr>
          <w:rFonts w:cstheme="minorHAnsi"/>
          <w:sz w:val="24"/>
          <w:szCs w:val="24"/>
        </w:rPr>
        <w:t>cin with other symptomatic therapy.</w:t>
      </w:r>
    </w:p>
    <w:p w:rsidR="00BD77A5" w:rsidRPr="00596FFE" w:rsidRDefault="00083C42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A response to a treatment as the outcomes - recovery from the disease or death was the success or failure of a treatment given under any of the three groups mentioned above</w:t>
      </w:r>
    </w:p>
    <w:p w:rsidR="00BD77A5" w:rsidRPr="00596FFE" w:rsidRDefault="00532B6B" w:rsidP="009E0C3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96FFE">
        <w:rPr>
          <w:rFonts w:cstheme="minorHAnsi"/>
          <w:b/>
          <w:sz w:val="24"/>
          <w:szCs w:val="24"/>
        </w:rPr>
        <w:t>3.9</w:t>
      </w:r>
      <w:r w:rsidR="00083C42" w:rsidRPr="00596FFE">
        <w:rPr>
          <w:rFonts w:cstheme="minorHAnsi"/>
          <w:b/>
          <w:sz w:val="24"/>
          <w:szCs w:val="24"/>
        </w:rPr>
        <w:t>. Vaccination history of PPR:</w:t>
      </w:r>
    </w:p>
    <w:p w:rsidR="00E36BC2" w:rsidRPr="00596FFE" w:rsidRDefault="00083C42" w:rsidP="009E0C3C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 xml:space="preserve"> Each owner was asked about previous vaccination history of his/her goat suffering from PPR</w:t>
      </w:r>
    </w:p>
    <w:p w:rsidR="001920B9" w:rsidRPr="00596FFE" w:rsidRDefault="00E36BC2" w:rsidP="00E36BC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96FFE">
        <w:rPr>
          <w:rFonts w:cstheme="minorHAnsi"/>
          <w:b/>
          <w:sz w:val="24"/>
          <w:szCs w:val="24"/>
        </w:rPr>
        <w:t>3.10. Statistical analysis:</w:t>
      </w:r>
    </w:p>
    <w:p w:rsidR="00BD36BD" w:rsidRPr="00596FFE" w:rsidRDefault="001920B9" w:rsidP="00BD36BD">
      <w:pPr>
        <w:spacing w:line="360" w:lineRule="auto"/>
        <w:jc w:val="both"/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>The</w:t>
      </w:r>
      <w:r w:rsidR="00E36BC2" w:rsidRPr="00596FFE">
        <w:rPr>
          <w:rFonts w:cstheme="minorHAnsi"/>
          <w:sz w:val="24"/>
          <w:szCs w:val="24"/>
        </w:rPr>
        <w:t xml:space="preserve"> obtained </w:t>
      </w:r>
      <w:r w:rsidRPr="00596FFE">
        <w:rPr>
          <w:rFonts w:cstheme="minorHAnsi"/>
          <w:sz w:val="24"/>
          <w:szCs w:val="24"/>
        </w:rPr>
        <w:t xml:space="preserve">data </w:t>
      </w:r>
      <w:r w:rsidR="00E36BC2" w:rsidRPr="00596FFE">
        <w:rPr>
          <w:rFonts w:cstheme="minorHAnsi"/>
          <w:sz w:val="24"/>
          <w:szCs w:val="24"/>
        </w:rPr>
        <w:t>were stored and coded accordingly using Microsoft Excel-2007. The data were exported from MS Excel-2007 to STATA/IC-11.0 (Stata Corporation College Station) for analysis. The results wer</w:t>
      </w:r>
      <w:r w:rsidRPr="00596FFE">
        <w:rPr>
          <w:rFonts w:cstheme="minorHAnsi"/>
          <w:sz w:val="24"/>
          <w:szCs w:val="24"/>
        </w:rPr>
        <w:t>e expressed in percentage with P</w:t>
      </w:r>
      <w:r w:rsidR="00E36BC2" w:rsidRPr="00596FFE">
        <w:rPr>
          <w:rFonts w:cstheme="minorHAnsi"/>
          <w:sz w:val="24"/>
          <w:szCs w:val="24"/>
        </w:rPr>
        <w:t>-value for Chi-</w:t>
      </w:r>
      <w:r w:rsidR="00D13651" w:rsidRPr="00596FFE">
        <w:rPr>
          <w:rFonts w:cstheme="minorHAnsi"/>
          <w:sz w:val="24"/>
          <w:szCs w:val="24"/>
        </w:rPr>
        <w:t xml:space="preserve"> </w:t>
      </w:r>
      <w:r w:rsidR="00407CAD" w:rsidRPr="00596FFE">
        <w:rPr>
          <w:rFonts w:cstheme="minorHAnsi"/>
          <w:sz w:val="24"/>
          <w:szCs w:val="24"/>
        </w:rPr>
        <w:t xml:space="preserve">Square </w:t>
      </w:r>
      <w:r w:rsidRPr="00596FFE">
        <w:rPr>
          <w:rFonts w:cstheme="minorHAnsi"/>
          <w:sz w:val="24"/>
          <w:szCs w:val="24"/>
        </w:rPr>
        <w:t>(χ</w:t>
      </w:r>
      <w:r w:rsidRPr="00596FFE">
        <w:rPr>
          <w:rFonts w:cstheme="minorHAnsi"/>
          <w:sz w:val="24"/>
          <w:szCs w:val="24"/>
          <w:vertAlign w:val="superscript"/>
        </w:rPr>
        <w:t>2</w:t>
      </w:r>
      <w:r w:rsidRPr="00596FFE">
        <w:rPr>
          <w:rFonts w:cstheme="minorHAnsi"/>
          <w:sz w:val="24"/>
          <w:szCs w:val="24"/>
        </w:rPr>
        <w:t>)</w:t>
      </w:r>
      <w:r w:rsidR="00F26C94" w:rsidRPr="00596FFE">
        <w:rPr>
          <w:rFonts w:cstheme="minorHAnsi"/>
          <w:sz w:val="24"/>
          <w:szCs w:val="24"/>
        </w:rPr>
        <w:t xml:space="preserve"> </w:t>
      </w:r>
      <w:r w:rsidR="00E36BC2" w:rsidRPr="00596FFE">
        <w:rPr>
          <w:rFonts w:cstheme="minorHAnsi"/>
          <w:sz w:val="24"/>
          <w:szCs w:val="24"/>
        </w:rPr>
        <w:t>Test. Si</w:t>
      </w:r>
      <w:r w:rsidRPr="00596FFE">
        <w:rPr>
          <w:rFonts w:cstheme="minorHAnsi"/>
          <w:sz w:val="24"/>
          <w:szCs w:val="24"/>
        </w:rPr>
        <w:t>gnificance was determined when P</w:t>
      </w:r>
      <w:r w:rsidR="00E36BC2" w:rsidRPr="00596FFE">
        <w:rPr>
          <w:rFonts w:cstheme="minorHAnsi"/>
          <w:sz w:val="24"/>
          <w:szCs w:val="24"/>
        </w:rPr>
        <w:t xml:space="preserve">&lt;0.05. </w:t>
      </w:r>
      <w:r w:rsidR="00D13651" w:rsidRPr="00596FFE">
        <w:rPr>
          <w:rFonts w:cstheme="minorHAnsi"/>
          <w:sz w:val="24"/>
          <w:szCs w:val="24"/>
        </w:rPr>
        <w:t xml:space="preserve">The proportional prevalence of </w:t>
      </w:r>
      <w:r w:rsidR="00407CAD" w:rsidRPr="00596FFE">
        <w:rPr>
          <w:rFonts w:cstheme="minorHAnsi"/>
          <w:sz w:val="24"/>
          <w:szCs w:val="24"/>
        </w:rPr>
        <w:t>was estimated by the</w:t>
      </w:r>
      <w:r w:rsidR="00BD36BD" w:rsidRPr="00596FFE">
        <w:rPr>
          <w:rFonts w:cstheme="minorHAnsi"/>
          <w:sz w:val="24"/>
          <w:szCs w:val="24"/>
        </w:rPr>
        <w:t xml:space="preserve"> formula of Thrusfield (1995).</w:t>
      </w:r>
    </w:p>
    <w:p w:rsidR="00E36BC2" w:rsidRPr="00596FFE" w:rsidRDefault="00E36BC2" w:rsidP="00E36BC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36BC2" w:rsidRPr="00596FFE" w:rsidRDefault="00E36BC2" w:rsidP="009E0C3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88399B" w:rsidP="00E36BC2">
      <w:pPr>
        <w:ind w:firstLine="720"/>
        <w:rPr>
          <w:rFonts w:cstheme="minorHAnsi"/>
          <w:sz w:val="24"/>
          <w:szCs w:val="24"/>
        </w:rPr>
      </w:pPr>
      <w:r w:rsidRPr="00596FF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3354705</wp:posOffset>
            </wp:positionH>
            <wp:positionV relativeFrom="margin">
              <wp:posOffset>88900</wp:posOffset>
            </wp:positionV>
            <wp:extent cx="2743835" cy="2521585"/>
            <wp:effectExtent l="38100" t="57150" r="113665" b="88265"/>
            <wp:wrapSquare wrapText="bothSides"/>
            <wp:docPr id="16" name="Picture 6" descr="D:\Audio\best of sonu ppr\ppr\diarrho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udio\best of sonu ppr\ppr\diarrho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521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96FF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88900</wp:posOffset>
            </wp:positionV>
            <wp:extent cx="2743200" cy="2526030"/>
            <wp:effectExtent l="38100" t="57150" r="114300" b="102870"/>
            <wp:wrapSquare wrapText="bothSides"/>
            <wp:docPr id="14" name="Picture 3" descr="DSC0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9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26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607BA1" w:rsidP="00E36BC2">
      <w:pPr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 xml:space="preserve">    Fig 4: Recording of temperature                                                         Fig 5: Severe diarrhoea</w:t>
      </w: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BD36BD" w:rsidP="00E36BC2">
      <w:pPr>
        <w:rPr>
          <w:rFonts w:cstheme="minorHAnsi"/>
          <w:sz w:val="24"/>
          <w:szCs w:val="24"/>
        </w:rPr>
      </w:pPr>
      <w:r w:rsidRPr="00596FF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3465195</wp:posOffset>
            </wp:positionH>
            <wp:positionV relativeFrom="margin">
              <wp:posOffset>3505200</wp:posOffset>
            </wp:positionV>
            <wp:extent cx="2633345" cy="2552065"/>
            <wp:effectExtent l="38100" t="57150" r="109855" b="95885"/>
            <wp:wrapSquare wrapText="bothSides"/>
            <wp:docPr id="12" name="Picture 0" descr="DSC0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88.JPG"/>
                    <pic:cNvPicPr/>
                  </pic:nvPicPr>
                  <pic:blipFill>
                    <a:blip r:embed="rId10" cstate="print"/>
                    <a:srcRect r="-130" b="9738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552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96FF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95885</wp:posOffset>
            </wp:positionV>
            <wp:extent cx="2743835" cy="2552065"/>
            <wp:effectExtent l="38100" t="57150" r="113665" b="95885"/>
            <wp:wrapThrough wrapText="bothSides">
              <wp:wrapPolygon edited="0">
                <wp:start x="-300" y="-484"/>
                <wp:lineTo x="-300" y="22412"/>
                <wp:lineTo x="22195" y="22412"/>
                <wp:lineTo x="22345" y="22412"/>
                <wp:lineTo x="22495" y="21444"/>
                <wp:lineTo x="22495" y="-161"/>
                <wp:lineTo x="22195" y="-484"/>
                <wp:lineTo x="-300" y="-484"/>
              </wp:wrapPolygon>
            </wp:wrapThrough>
            <wp:docPr id="15" name="Picture 4" descr="C:\Users\NIAZ\Desktop\P815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AZ\Desktop\P8150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402" r="1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552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E36BC2" w:rsidRPr="00596FFE" w:rsidRDefault="00E36BC2" w:rsidP="00E36BC2">
      <w:pPr>
        <w:rPr>
          <w:rFonts w:cstheme="minorHAnsi"/>
          <w:sz w:val="24"/>
          <w:szCs w:val="24"/>
        </w:rPr>
      </w:pPr>
    </w:p>
    <w:p w:rsidR="00607BA1" w:rsidRPr="00596FFE" w:rsidRDefault="00607BA1" w:rsidP="00E36BC2">
      <w:pPr>
        <w:rPr>
          <w:rFonts w:cstheme="minorHAnsi"/>
          <w:sz w:val="24"/>
          <w:szCs w:val="24"/>
        </w:rPr>
      </w:pPr>
    </w:p>
    <w:p w:rsidR="00607BA1" w:rsidRPr="00596FFE" w:rsidRDefault="00607BA1" w:rsidP="00607BA1">
      <w:pPr>
        <w:rPr>
          <w:rFonts w:cstheme="minorHAnsi"/>
          <w:sz w:val="24"/>
          <w:szCs w:val="24"/>
        </w:rPr>
      </w:pPr>
    </w:p>
    <w:p w:rsidR="00607BA1" w:rsidRPr="00596FFE" w:rsidRDefault="00607BA1" w:rsidP="00607BA1">
      <w:pPr>
        <w:rPr>
          <w:rFonts w:cstheme="minorHAnsi"/>
          <w:sz w:val="24"/>
          <w:szCs w:val="24"/>
        </w:rPr>
      </w:pPr>
    </w:p>
    <w:p w:rsidR="00607BA1" w:rsidRPr="00596FFE" w:rsidRDefault="00607BA1" w:rsidP="00607BA1">
      <w:pPr>
        <w:rPr>
          <w:rFonts w:cstheme="minorHAnsi"/>
          <w:sz w:val="24"/>
          <w:szCs w:val="24"/>
        </w:rPr>
      </w:pPr>
    </w:p>
    <w:p w:rsidR="00657654" w:rsidRPr="00596FFE" w:rsidRDefault="00657654" w:rsidP="00607BA1">
      <w:pPr>
        <w:rPr>
          <w:rFonts w:cstheme="minorHAnsi"/>
          <w:sz w:val="24"/>
          <w:szCs w:val="24"/>
        </w:rPr>
      </w:pPr>
    </w:p>
    <w:p w:rsidR="00E36BC2" w:rsidRPr="00596FFE" w:rsidRDefault="00607BA1" w:rsidP="00607BA1">
      <w:pPr>
        <w:rPr>
          <w:rFonts w:cstheme="minorHAnsi"/>
          <w:sz w:val="24"/>
          <w:szCs w:val="24"/>
        </w:rPr>
      </w:pPr>
      <w:r w:rsidRPr="00596FFE">
        <w:rPr>
          <w:rFonts w:cstheme="minorHAnsi"/>
          <w:sz w:val="24"/>
          <w:szCs w:val="24"/>
        </w:rPr>
        <w:t xml:space="preserve">Fig 6: Erosion in lips, buccal mucosa    </w:t>
      </w:r>
      <w:r w:rsidR="00D13651" w:rsidRPr="00596FFE">
        <w:rPr>
          <w:rFonts w:cstheme="minorHAnsi"/>
          <w:sz w:val="24"/>
          <w:szCs w:val="24"/>
        </w:rPr>
        <w:t xml:space="preserve">                           Fig7</w:t>
      </w:r>
      <w:r w:rsidRPr="00596FFE">
        <w:rPr>
          <w:rFonts w:cstheme="minorHAnsi"/>
          <w:sz w:val="24"/>
          <w:szCs w:val="24"/>
        </w:rPr>
        <w:t xml:space="preserve">: Skin fold test measuring dehydration                   </w:t>
      </w:r>
    </w:p>
    <w:sectPr w:rsidR="00E36BC2" w:rsidRPr="00596FFE" w:rsidSect="0007152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58" w:rsidRDefault="00FC6258" w:rsidP="00083C42">
      <w:pPr>
        <w:spacing w:after="0" w:line="240" w:lineRule="auto"/>
      </w:pPr>
      <w:r>
        <w:separator/>
      </w:r>
    </w:p>
  </w:endnote>
  <w:endnote w:type="continuationSeparator" w:id="1">
    <w:p w:rsidR="00FC6258" w:rsidRDefault="00FC6258" w:rsidP="0008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88"/>
      <w:docPartObj>
        <w:docPartGallery w:val="Page Numbers (Bottom of Page)"/>
        <w:docPartUnique/>
      </w:docPartObj>
    </w:sdtPr>
    <w:sdtContent>
      <w:p w:rsidR="00D13651" w:rsidRDefault="00D13651">
        <w:pPr>
          <w:pStyle w:val="Footer"/>
          <w:jc w:val="right"/>
        </w:pPr>
        <w:r>
          <w:t xml:space="preserve">Page | </w:t>
        </w:r>
        <w:fldSimple w:instr=" PAGE   \* MERGEFORMAT ">
          <w:r w:rsidR="00071528">
            <w:rPr>
              <w:noProof/>
            </w:rPr>
            <w:t>24</w:t>
          </w:r>
        </w:fldSimple>
        <w:r>
          <w:t xml:space="preserve"> </w:t>
        </w:r>
      </w:p>
    </w:sdtContent>
  </w:sdt>
  <w:p w:rsidR="00083C42" w:rsidRDefault="00083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58" w:rsidRDefault="00FC6258" w:rsidP="00083C42">
      <w:pPr>
        <w:spacing w:after="0" w:line="240" w:lineRule="auto"/>
      </w:pPr>
      <w:r>
        <w:separator/>
      </w:r>
    </w:p>
  </w:footnote>
  <w:footnote w:type="continuationSeparator" w:id="1">
    <w:p w:rsidR="00FC6258" w:rsidRDefault="00FC6258" w:rsidP="0008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E0F0A03C29404666A9FA17AA4AB876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4D1C" w:rsidRDefault="00734D1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                                                                                                                                                  Materials and methods               </w:t>
        </w:r>
      </w:p>
    </w:sdtContent>
  </w:sdt>
  <w:p w:rsidR="00734D1C" w:rsidRDefault="00734D1C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083C42" w:rsidRDefault="00083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D80"/>
    <w:multiLevelType w:val="hybridMultilevel"/>
    <w:tmpl w:val="1E5285D6"/>
    <w:lvl w:ilvl="0" w:tplc="0409001B">
      <w:start w:val="1"/>
      <w:numFmt w:val="lowerRoman"/>
      <w:lvlText w:val="%1."/>
      <w:lvlJc w:val="right"/>
      <w:pPr>
        <w:ind w:left="14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B6E2C"/>
    <w:multiLevelType w:val="multilevel"/>
    <w:tmpl w:val="8B4C49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C42"/>
    <w:rsid w:val="00025EF9"/>
    <w:rsid w:val="000332E7"/>
    <w:rsid w:val="00036256"/>
    <w:rsid w:val="00060CDF"/>
    <w:rsid w:val="00071528"/>
    <w:rsid w:val="00083C42"/>
    <w:rsid w:val="0008521A"/>
    <w:rsid w:val="000D6319"/>
    <w:rsid w:val="000E0F17"/>
    <w:rsid w:val="000E363A"/>
    <w:rsid w:val="00104607"/>
    <w:rsid w:val="00134346"/>
    <w:rsid w:val="00142DE5"/>
    <w:rsid w:val="00150ED7"/>
    <w:rsid w:val="00191144"/>
    <w:rsid w:val="001918F0"/>
    <w:rsid w:val="001920B9"/>
    <w:rsid w:val="001F0BD1"/>
    <w:rsid w:val="00205B95"/>
    <w:rsid w:val="00213475"/>
    <w:rsid w:val="0024543A"/>
    <w:rsid w:val="00260EF6"/>
    <w:rsid w:val="00334487"/>
    <w:rsid w:val="00351193"/>
    <w:rsid w:val="0035716C"/>
    <w:rsid w:val="00385EA6"/>
    <w:rsid w:val="00397F23"/>
    <w:rsid w:val="003D16DE"/>
    <w:rsid w:val="00402BDD"/>
    <w:rsid w:val="00407CAD"/>
    <w:rsid w:val="004637CE"/>
    <w:rsid w:val="00480310"/>
    <w:rsid w:val="004E29C4"/>
    <w:rsid w:val="0051718D"/>
    <w:rsid w:val="00530B76"/>
    <w:rsid w:val="00532B6B"/>
    <w:rsid w:val="005442CC"/>
    <w:rsid w:val="00546DFB"/>
    <w:rsid w:val="005557AE"/>
    <w:rsid w:val="00596FFE"/>
    <w:rsid w:val="005A4251"/>
    <w:rsid w:val="005B0F40"/>
    <w:rsid w:val="00607BA1"/>
    <w:rsid w:val="00657654"/>
    <w:rsid w:val="006865CC"/>
    <w:rsid w:val="006942C1"/>
    <w:rsid w:val="00697578"/>
    <w:rsid w:val="006B6131"/>
    <w:rsid w:val="006B63E7"/>
    <w:rsid w:val="006D74FD"/>
    <w:rsid w:val="006E363E"/>
    <w:rsid w:val="00733012"/>
    <w:rsid w:val="00734D1C"/>
    <w:rsid w:val="00797BE6"/>
    <w:rsid w:val="007B58D5"/>
    <w:rsid w:val="0081534B"/>
    <w:rsid w:val="008351BD"/>
    <w:rsid w:val="0088399B"/>
    <w:rsid w:val="0089345C"/>
    <w:rsid w:val="008A2896"/>
    <w:rsid w:val="00954106"/>
    <w:rsid w:val="009D5C8B"/>
    <w:rsid w:val="009E0C3C"/>
    <w:rsid w:val="00A92D8D"/>
    <w:rsid w:val="00AB3F67"/>
    <w:rsid w:val="00AB6C9C"/>
    <w:rsid w:val="00AC4991"/>
    <w:rsid w:val="00B14E65"/>
    <w:rsid w:val="00B91205"/>
    <w:rsid w:val="00BD36BD"/>
    <w:rsid w:val="00BD77A5"/>
    <w:rsid w:val="00C01CEC"/>
    <w:rsid w:val="00C044EA"/>
    <w:rsid w:val="00C05773"/>
    <w:rsid w:val="00C445FD"/>
    <w:rsid w:val="00C46925"/>
    <w:rsid w:val="00C84CA0"/>
    <w:rsid w:val="00CC5740"/>
    <w:rsid w:val="00CC7ED8"/>
    <w:rsid w:val="00CF3DD0"/>
    <w:rsid w:val="00D13651"/>
    <w:rsid w:val="00D26F1C"/>
    <w:rsid w:val="00D47F6D"/>
    <w:rsid w:val="00DA46F5"/>
    <w:rsid w:val="00DB4CD3"/>
    <w:rsid w:val="00DB7F8D"/>
    <w:rsid w:val="00DD6FA2"/>
    <w:rsid w:val="00E36BC2"/>
    <w:rsid w:val="00E67E98"/>
    <w:rsid w:val="00EC37EC"/>
    <w:rsid w:val="00EE0407"/>
    <w:rsid w:val="00F00B8F"/>
    <w:rsid w:val="00F26C94"/>
    <w:rsid w:val="00F732D6"/>
    <w:rsid w:val="00FB6C98"/>
    <w:rsid w:val="00FC4EA9"/>
    <w:rsid w:val="00FC6258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4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3C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2"/>
  </w:style>
  <w:style w:type="paragraph" w:styleId="Footer">
    <w:name w:val="footer"/>
    <w:basedOn w:val="Normal"/>
    <w:link w:val="FooterChar"/>
    <w:uiPriority w:val="99"/>
    <w:unhideWhenUsed/>
    <w:rsid w:val="0008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2"/>
  </w:style>
  <w:style w:type="paragraph" w:styleId="BalloonText">
    <w:name w:val="Balloon Text"/>
    <w:basedOn w:val="Normal"/>
    <w:link w:val="BalloonTextChar"/>
    <w:uiPriority w:val="99"/>
    <w:semiHidden/>
    <w:unhideWhenUsed/>
    <w:rsid w:val="0008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D47F6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F0A03C29404666A9FA17AA4AB8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7C45-67DA-40CB-8E0C-578D6EA3E96E}"/>
      </w:docPartPr>
      <w:docPartBody>
        <w:p w:rsidR="00242AA3" w:rsidRDefault="00C86064" w:rsidP="00C86064">
          <w:pPr>
            <w:pStyle w:val="E0F0A03C29404666A9FA17AA4AB8760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064"/>
    <w:rsid w:val="00242AA3"/>
    <w:rsid w:val="008B6C44"/>
    <w:rsid w:val="009D6E13"/>
    <w:rsid w:val="00C86064"/>
    <w:rsid w:val="00E5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0A03C29404666A9FA17AA4AB8760A">
    <w:name w:val="E0F0A03C29404666A9FA17AA4AB8760A"/>
    <w:rsid w:val="00C86064"/>
  </w:style>
  <w:style w:type="paragraph" w:customStyle="1" w:styleId="9B932712121A4EB4BA8FE882E8FAC855">
    <w:name w:val="9B932712121A4EB4BA8FE882E8FAC855"/>
    <w:rsid w:val="00C860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59F2-F6B3-44E1-9E8E-81391570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Materials and methods               </vt:lpstr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Materials and methods               </dc:title>
  <dc:subject/>
  <dc:creator>ACER</dc:creator>
  <cp:keywords/>
  <dc:description/>
  <cp:lastModifiedBy>Ferdous</cp:lastModifiedBy>
  <cp:revision>42</cp:revision>
  <cp:lastPrinted>2015-01-16T11:55:00Z</cp:lastPrinted>
  <dcterms:created xsi:type="dcterms:W3CDTF">2014-12-27T04:16:00Z</dcterms:created>
  <dcterms:modified xsi:type="dcterms:W3CDTF">2015-01-16T11:55:00Z</dcterms:modified>
</cp:coreProperties>
</file>