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B2" w:rsidRDefault="00053DB2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IV</w:t>
      </w:r>
    </w:p>
    <w:p w:rsidR="005F1D9C" w:rsidRDefault="003A76D0" w:rsidP="00D651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0E83">
        <w:rPr>
          <w:rFonts w:ascii="Times New Roman" w:hAnsi="Times New Roman" w:cs="Times New Roman"/>
          <w:b/>
          <w:caps/>
          <w:sz w:val="28"/>
          <w:szCs w:val="28"/>
        </w:rPr>
        <w:t>Results</w:t>
      </w:r>
    </w:p>
    <w:p w:rsidR="00D65199" w:rsidRPr="00D65199" w:rsidRDefault="00D65199" w:rsidP="00D651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B43CC0" w:rsidRPr="005F1D9C" w:rsidRDefault="00D65199" w:rsidP="00FB0B9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1028700</wp:posOffset>
            </wp:positionV>
            <wp:extent cx="3057525" cy="2600325"/>
            <wp:effectExtent l="0" t="0" r="0" b="0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F1D9C" w:rsidRPr="005F1D9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92F3F" w:rsidRPr="005F1D9C">
        <w:rPr>
          <w:rFonts w:ascii="Times New Roman" w:hAnsi="Times New Roman" w:cs="Times New Roman"/>
          <w:b/>
          <w:sz w:val="26"/>
          <w:szCs w:val="26"/>
        </w:rPr>
        <w:t>1</w:t>
      </w:r>
      <w:r w:rsidR="00B43CC0" w:rsidRPr="005F1D9C">
        <w:rPr>
          <w:rFonts w:ascii="Times New Roman" w:hAnsi="Times New Roman" w:cs="Times New Roman"/>
          <w:b/>
          <w:sz w:val="26"/>
          <w:szCs w:val="26"/>
        </w:rPr>
        <w:t>. Proportion of investigated areas and species of animals</w:t>
      </w:r>
    </w:p>
    <w:p w:rsidR="002456BE" w:rsidRDefault="0003251F" w:rsidP="0099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226.5pt;margin-top:207.7pt;width:237.75pt;height:48.8pt;z-index:251660288" arcsize="10923f">
            <v:textbox>
              <w:txbxContent>
                <w:p w:rsidR="00EF5713" w:rsidRPr="00B3385D" w:rsidRDefault="00EF5713" w:rsidP="00D6519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3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Figure 11: Study areas on which </w:t>
                  </w:r>
                  <w:proofErr w:type="spellStart"/>
                  <w:r w:rsidRPr="00B33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myiasis</w:t>
                  </w:r>
                  <w:proofErr w:type="spellEnd"/>
                  <w:r w:rsidRPr="00B33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cases were investigated.</w:t>
                  </w:r>
                </w:p>
                <w:p w:rsidR="00EF5713" w:rsidRDefault="00EF5713" w:rsidP="00D65199"/>
              </w:txbxContent>
            </v:textbox>
          </v:roundrect>
        </w:pict>
      </w:r>
      <w:r w:rsidR="00B30663" w:rsidRPr="005F1D9C">
        <w:rPr>
          <w:rFonts w:ascii="Times New Roman" w:hAnsi="Times New Roman" w:cs="Times New Roman"/>
          <w:sz w:val="24"/>
          <w:szCs w:val="24"/>
        </w:rPr>
        <w:t xml:space="preserve">The present study was anticipated to </w:t>
      </w:r>
      <w:r w:rsidR="00EC2820" w:rsidRPr="005F1D9C">
        <w:rPr>
          <w:rFonts w:ascii="Times New Roman" w:hAnsi="Times New Roman" w:cs="Times New Roman"/>
          <w:sz w:val="24"/>
          <w:szCs w:val="24"/>
        </w:rPr>
        <w:t xml:space="preserve">investigate the prevalence of </w:t>
      </w:r>
      <w:proofErr w:type="spellStart"/>
      <w:r w:rsidR="00EC2820" w:rsidRPr="005F1D9C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EC2820" w:rsidRPr="005F1D9C">
        <w:rPr>
          <w:rFonts w:ascii="Times New Roman" w:hAnsi="Times New Roman" w:cs="Times New Roman"/>
          <w:sz w:val="24"/>
          <w:szCs w:val="24"/>
        </w:rPr>
        <w:t xml:space="preserve"> as well as to </w:t>
      </w:r>
      <w:r w:rsidR="00B30663" w:rsidRPr="005F1D9C">
        <w:rPr>
          <w:rFonts w:ascii="Times New Roman" w:hAnsi="Times New Roman" w:cs="Times New Roman"/>
          <w:sz w:val="24"/>
          <w:szCs w:val="24"/>
        </w:rPr>
        <w:t>identify the associated risk factors</w:t>
      </w:r>
      <w:r w:rsidR="00B30663" w:rsidRPr="005F1D9C">
        <w:rPr>
          <w:rFonts w:ascii="Times New Roman" w:eastAsia="Calibri" w:hAnsi="Times New Roman" w:cs="Times New Roman"/>
          <w:sz w:val="24"/>
          <w:szCs w:val="24"/>
        </w:rPr>
        <w:t xml:space="preserve"> in different species (cattle, goat, sheep, dog, rabbit etc.)</w:t>
      </w:r>
      <w:r w:rsidR="00B30663" w:rsidRPr="005F1D9C">
        <w:rPr>
          <w:rFonts w:ascii="Times New Roman" w:hAnsi="Times New Roman" w:cs="Times New Roman"/>
          <w:sz w:val="24"/>
          <w:szCs w:val="24"/>
        </w:rPr>
        <w:t xml:space="preserve"> at different r</w:t>
      </w:r>
      <w:r w:rsidR="00FE029D">
        <w:rPr>
          <w:rFonts w:ascii="Times New Roman" w:hAnsi="Times New Roman" w:cs="Times New Roman"/>
          <w:sz w:val="24"/>
          <w:szCs w:val="24"/>
        </w:rPr>
        <w:t>egions of Bangladesh and Tamil N</w:t>
      </w:r>
      <w:r w:rsidR="00B30663" w:rsidRPr="005F1D9C">
        <w:rPr>
          <w:rFonts w:ascii="Times New Roman" w:hAnsi="Times New Roman" w:cs="Times New Roman"/>
          <w:sz w:val="24"/>
          <w:szCs w:val="24"/>
        </w:rPr>
        <w:t xml:space="preserve">adu state of India. </w:t>
      </w:r>
      <w:r w:rsidR="00C15246" w:rsidRPr="005F1D9C">
        <w:rPr>
          <w:rFonts w:ascii="Times New Roman" w:hAnsi="Times New Roman" w:cs="Times New Roman"/>
          <w:sz w:val="24"/>
          <w:szCs w:val="24"/>
        </w:rPr>
        <w:t xml:space="preserve">In Bangladesh, the highest numbers of cases were recorded in Chittagong Metropolitan area (CMA) </w:t>
      </w:r>
      <w:r w:rsidR="00B76432" w:rsidRPr="005F1D9C">
        <w:rPr>
          <w:rFonts w:ascii="Times New Roman" w:hAnsi="Times New Roman" w:cs="Times New Roman"/>
          <w:sz w:val="24"/>
          <w:szCs w:val="24"/>
        </w:rPr>
        <w:t>(</w:t>
      </w:r>
      <w:r w:rsidR="00CA09E4">
        <w:rPr>
          <w:rFonts w:ascii="Times New Roman" w:hAnsi="Times New Roman" w:cs="Times New Roman"/>
          <w:sz w:val="24"/>
          <w:szCs w:val="24"/>
        </w:rPr>
        <w:t>1</w:t>
      </w:r>
      <w:r w:rsidR="00C15246" w:rsidRPr="005F1D9C">
        <w:rPr>
          <w:rFonts w:ascii="Times New Roman" w:hAnsi="Times New Roman" w:cs="Times New Roman"/>
          <w:sz w:val="24"/>
          <w:szCs w:val="24"/>
        </w:rPr>
        <w:t>5</w:t>
      </w:r>
      <w:r w:rsidR="00CA09E4">
        <w:rPr>
          <w:rFonts w:ascii="Times New Roman" w:hAnsi="Times New Roman" w:cs="Times New Roman"/>
          <w:sz w:val="24"/>
          <w:szCs w:val="24"/>
        </w:rPr>
        <w:t>2</w:t>
      </w:r>
      <w:r w:rsidR="00C15246" w:rsidRPr="005F1D9C">
        <w:rPr>
          <w:rFonts w:ascii="Times New Roman" w:hAnsi="Times New Roman" w:cs="Times New Roman"/>
          <w:sz w:val="24"/>
          <w:szCs w:val="24"/>
        </w:rPr>
        <w:t xml:space="preserve"> cases</w:t>
      </w:r>
      <w:r w:rsidR="00B76432" w:rsidRPr="005F1D9C">
        <w:rPr>
          <w:rFonts w:ascii="Times New Roman" w:hAnsi="Times New Roman" w:cs="Times New Roman"/>
          <w:sz w:val="24"/>
          <w:szCs w:val="24"/>
        </w:rPr>
        <w:t>)</w:t>
      </w:r>
      <w:r w:rsidR="00C15246" w:rsidRPr="005F1D9C">
        <w:rPr>
          <w:rFonts w:ascii="Times New Roman" w:hAnsi="Times New Roman" w:cs="Times New Roman"/>
          <w:sz w:val="24"/>
          <w:szCs w:val="24"/>
        </w:rPr>
        <w:t xml:space="preserve"> and the lowest numbers of ca</w:t>
      </w:r>
      <w:r w:rsidR="00575E1A">
        <w:rPr>
          <w:rFonts w:ascii="Times New Roman" w:hAnsi="Times New Roman" w:cs="Times New Roman"/>
          <w:sz w:val="24"/>
          <w:szCs w:val="24"/>
        </w:rPr>
        <w:t xml:space="preserve">ses were at </w:t>
      </w:r>
      <w:proofErr w:type="spellStart"/>
      <w:r w:rsidR="00CA09E4">
        <w:rPr>
          <w:rFonts w:ascii="Times New Roman" w:hAnsi="Times New Roman" w:cs="Times New Roman"/>
          <w:sz w:val="24"/>
          <w:szCs w:val="24"/>
        </w:rPr>
        <w:t>Tamilnadu</w:t>
      </w:r>
      <w:proofErr w:type="gramStart"/>
      <w:r w:rsidR="00CA09E4"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  <w:r w:rsidR="00110C8A" w:rsidRPr="005F1D9C">
        <w:rPr>
          <w:rFonts w:ascii="Times New Roman" w:hAnsi="Times New Roman" w:cs="Times New Roman"/>
          <w:sz w:val="24"/>
          <w:szCs w:val="24"/>
        </w:rPr>
        <w:t xml:space="preserve"> </w:t>
      </w:r>
      <w:r w:rsidR="002C45D0" w:rsidRPr="005F1D9C">
        <w:rPr>
          <w:rFonts w:ascii="Times New Roman" w:hAnsi="Times New Roman" w:cs="Times New Roman"/>
          <w:sz w:val="24"/>
          <w:szCs w:val="24"/>
        </w:rPr>
        <w:t>(</w:t>
      </w:r>
      <w:r w:rsidR="00CA09E4">
        <w:rPr>
          <w:rFonts w:ascii="Times New Roman" w:hAnsi="Times New Roman" w:cs="Times New Roman"/>
          <w:sz w:val="24"/>
          <w:szCs w:val="24"/>
        </w:rPr>
        <w:t>5</w:t>
      </w:r>
      <w:r w:rsidR="00110C8A" w:rsidRPr="005F1D9C">
        <w:rPr>
          <w:rFonts w:ascii="Times New Roman" w:hAnsi="Times New Roman" w:cs="Times New Roman"/>
          <w:sz w:val="24"/>
          <w:szCs w:val="24"/>
        </w:rPr>
        <w:t xml:space="preserve"> cases</w:t>
      </w:r>
      <w:r w:rsidR="002C45D0" w:rsidRPr="005F1D9C">
        <w:rPr>
          <w:rFonts w:ascii="Times New Roman" w:hAnsi="Times New Roman" w:cs="Times New Roman"/>
          <w:sz w:val="24"/>
          <w:szCs w:val="24"/>
        </w:rPr>
        <w:t>)</w:t>
      </w:r>
      <w:r w:rsidR="00992F3F" w:rsidRPr="005F1D9C">
        <w:rPr>
          <w:rFonts w:ascii="Times New Roman" w:hAnsi="Times New Roman" w:cs="Times New Roman"/>
          <w:sz w:val="24"/>
          <w:szCs w:val="24"/>
        </w:rPr>
        <w:t xml:space="preserve"> (Figure 11</w:t>
      </w:r>
      <w:r w:rsidR="00110C8A" w:rsidRPr="005F1D9C">
        <w:rPr>
          <w:rFonts w:ascii="Times New Roman" w:hAnsi="Times New Roman" w:cs="Times New Roman"/>
          <w:sz w:val="24"/>
          <w:szCs w:val="24"/>
        </w:rPr>
        <w:t>)</w:t>
      </w:r>
      <w:r w:rsidR="003A76D0" w:rsidRPr="005F1D9C">
        <w:rPr>
          <w:rFonts w:ascii="Times New Roman" w:hAnsi="Times New Roman" w:cs="Times New Roman"/>
          <w:sz w:val="24"/>
          <w:szCs w:val="24"/>
        </w:rPr>
        <w:t>.</w:t>
      </w:r>
    </w:p>
    <w:p w:rsidR="00D65199" w:rsidRDefault="00D65199" w:rsidP="0099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199" w:rsidRDefault="00D65199" w:rsidP="0099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199" w:rsidRPr="005F1D9C" w:rsidRDefault="00D65199" w:rsidP="00992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5D" w:rsidRDefault="0003251F" w:rsidP="00B33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26.5pt;margin-top:227.65pt;width:243pt;height:40.5pt;z-index:251661312" arcsize="10923f">
            <v:textbox>
              <w:txbxContent>
                <w:p w:rsidR="00EF5713" w:rsidRDefault="00EF5713" w:rsidP="00B3385D">
                  <w:r w:rsidRPr="00992F3F">
                    <w:rPr>
                      <w:rFonts w:ascii="Times New Roman" w:hAnsi="Times New Roman" w:cs="Times New Roman"/>
                      <w:b/>
                    </w:rPr>
                    <w:t xml:space="preserve">Figure </w:t>
                  </w: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Pr="00992F3F">
                    <w:rPr>
                      <w:rFonts w:ascii="Times New Roman" w:hAnsi="Times New Roman" w:cs="Times New Roman"/>
                      <w:b/>
                    </w:rPr>
                    <w:t xml:space="preserve">: Frequency of different species affected with </w:t>
                  </w:r>
                  <w:proofErr w:type="spellStart"/>
                  <w:r w:rsidRPr="00992F3F">
                    <w:rPr>
                      <w:rFonts w:ascii="Times New Roman" w:hAnsi="Times New Roman" w:cs="Times New Roman"/>
                      <w:b/>
                    </w:rPr>
                    <w:t>myiasis</w:t>
                  </w:r>
                  <w:proofErr w:type="spellEnd"/>
                  <w:r w:rsidRPr="00992F3F">
                    <w:rPr>
                      <w:rFonts w:ascii="Times New Roman" w:hAnsi="Times New Roman" w:cs="Times New Roman"/>
                      <w:b/>
                    </w:rPr>
                    <w:t xml:space="preserve"> under the study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oundrect>
        </w:pict>
      </w:r>
      <w:r w:rsidR="00D651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109220</wp:posOffset>
            </wp:positionV>
            <wp:extent cx="3048000" cy="2695575"/>
            <wp:effectExtent l="19050" t="0" r="19050" b="0"/>
            <wp:wrapTight wrapText="bothSides">
              <wp:wrapPolygon edited="0">
                <wp:start x="-135" y="0"/>
                <wp:lineTo x="-135" y="21524"/>
                <wp:lineTo x="21735" y="21524"/>
                <wp:lineTo x="21735" y="0"/>
                <wp:lineTo x="-135" y="0"/>
              </wp:wrapPolygon>
            </wp:wrapTight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126F8">
        <w:rPr>
          <w:rFonts w:ascii="Times New Roman" w:hAnsi="Times New Roman" w:cs="Times New Roman"/>
          <w:sz w:val="24"/>
          <w:szCs w:val="24"/>
        </w:rPr>
        <w:t>In this study, a total of 178</w:t>
      </w:r>
      <w:r w:rsidR="00110C8A" w:rsidRPr="005F1D9C">
        <w:rPr>
          <w:rFonts w:ascii="Times New Roman" w:hAnsi="Times New Roman" w:cs="Times New Roman"/>
          <w:sz w:val="24"/>
          <w:szCs w:val="24"/>
        </w:rPr>
        <w:t>myiasis cases we</w:t>
      </w:r>
      <w:r w:rsidR="006126F8">
        <w:rPr>
          <w:rFonts w:ascii="Times New Roman" w:hAnsi="Times New Roman" w:cs="Times New Roman"/>
          <w:sz w:val="24"/>
          <w:szCs w:val="24"/>
        </w:rPr>
        <w:t>re observed from approximately 5412</w:t>
      </w:r>
      <w:r w:rsidR="00110C8A" w:rsidRPr="005F1D9C">
        <w:rPr>
          <w:rFonts w:ascii="Times New Roman" w:hAnsi="Times New Roman" w:cs="Times New Roman"/>
          <w:sz w:val="24"/>
          <w:szCs w:val="24"/>
        </w:rPr>
        <w:t xml:space="preserve"> different cases.</w:t>
      </w:r>
      <w:r w:rsidR="00E55113">
        <w:rPr>
          <w:rFonts w:ascii="Times New Roman" w:hAnsi="Times New Roman" w:cs="Times New Roman"/>
          <w:sz w:val="24"/>
          <w:szCs w:val="24"/>
        </w:rPr>
        <w:t xml:space="preserve"> Among 178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cases, dif</w:t>
      </w:r>
      <w:r w:rsidR="00E55113">
        <w:rPr>
          <w:rFonts w:ascii="Times New Roman" w:hAnsi="Times New Roman" w:cs="Times New Roman"/>
          <w:sz w:val="24"/>
          <w:szCs w:val="24"/>
        </w:rPr>
        <w:t>ferent species were examined (105 goat, 47 cattle, 4 sheep, 20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dogs, 1 monkey and 1 rabbit)</w:t>
      </w:r>
      <w:r w:rsidR="000270ED" w:rsidRPr="005F1D9C">
        <w:rPr>
          <w:rFonts w:ascii="Times New Roman" w:hAnsi="Times New Roman" w:cs="Times New Roman"/>
          <w:sz w:val="24"/>
          <w:szCs w:val="24"/>
        </w:rPr>
        <w:t xml:space="preserve"> (Figure </w:t>
      </w:r>
      <w:r w:rsidR="00992F3F" w:rsidRPr="005F1D9C">
        <w:rPr>
          <w:rFonts w:ascii="Times New Roman" w:hAnsi="Times New Roman" w:cs="Times New Roman"/>
          <w:sz w:val="24"/>
          <w:szCs w:val="24"/>
        </w:rPr>
        <w:t>12</w:t>
      </w:r>
      <w:r w:rsidR="000270ED" w:rsidRPr="005F1D9C">
        <w:rPr>
          <w:rFonts w:ascii="Times New Roman" w:hAnsi="Times New Roman" w:cs="Times New Roman"/>
          <w:sz w:val="24"/>
          <w:szCs w:val="24"/>
        </w:rPr>
        <w:t>)</w:t>
      </w:r>
      <w:r w:rsidR="00E55113">
        <w:rPr>
          <w:rFonts w:ascii="Times New Roman" w:hAnsi="Times New Roman" w:cs="Times New Roman"/>
          <w:sz w:val="24"/>
          <w:szCs w:val="24"/>
        </w:rPr>
        <w:t>. 75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animals were male </w:t>
      </w:r>
      <w:r w:rsidR="00E55113">
        <w:rPr>
          <w:rFonts w:ascii="Times New Roman" w:hAnsi="Times New Roman" w:cs="Times New Roman"/>
          <w:sz w:val="24"/>
          <w:szCs w:val="24"/>
        </w:rPr>
        <w:t>and 1</w:t>
      </w:r>
      <w:r w:rsidR="00037AE7" w:rsidRPr="005F1D9C">
        <w:rPr>
          <w:rFonts w:ascii="Times New Roman" w:hAnsi="Times New Roman" w:cs="Times New Roman"/>
          <w:sz w:val="24"/>
          <w:szCs w:val="24"/>
        </w:rPr>
        <w:t>0</w:t>
      </w:r>
      <w:r w:rsidR="00E55113">
        <w:rPr>
          <w:rFonts w:ascii="Times New Roman" w:hAnsi="Times New Roman" w:cs="Times New Roman"/>
          <w:sz w:val="24"/>
          <w:szCs w:val="24"/>
        </w:rPr>
        <w:t>3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animals were female. The examined animals were categorized into three age gr</w:t>
      </w:r>
      <w:r w:rsidR="00E55113">
        <w:rPr>
          <w:rFonts w:ascii="Times New Roman" w:hAnsi="Times New Roman" w:cs="Times New Roman"/>
          <w:sz w:val="24"/>
          <w:szCs w:val="24"/>
        </w:rPr>
        <w:t>oups; more than 6 months old (13</w:t>
      </w:r>
      <w:r w:rsidR="00037AE7" w:rsidRPr="005F1D9C">
        <w:rPr>
          <w:rFonts w:ascii="Times New Roman" w:hAnsi="Times New Roman" w:cs="Times New Roman"/>
          <w:sz w:val="24"/>
          <w:szCs w:val="24"/>
        </w:rPr>
        <w:t>0 anim</w:t>
      </w:r>
      <w:r w:rsidR="00E55113">
        <w:rPr>
          <w:rFonts w:ascii="Times New Roman" w:hAnsi="Times New Roman" w:cs="Times New Roman"/>
          <w:sz w:val="24"/>
          <w:szCs w:val="24"/>
        </w:rPr>
        <w:t>als), less than 6 months old (38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anim</w:t>
      </w:r>
      <w:r w:rsidR="00E55113">
        <w:rPr>
          <w:rFonts w:ascii="Times New Roman" w:hAnsi="Times New Roman" w:cs="Times New Roman"/>
          <w:sz w:val="24"/>
          <w:szCs w:val="24"/>
        </w:rPr>
        <w:t>als) and exactly 6 months old (10</w:t>
      </w:r>
      <w:r w:rsidR="00037AE7" w:rsidRPr="005F1D9C">
        <w:rPr>
          <w:rFonts w:ascii="Times New Roman" w:hAnsi="Times New Roman" w:cs="Times New Roman"/>
          <w:sz w:val="24"/>
          <w:szCs w:val="24"/>
        </w:rPr>
        <w:t xml:space="preserve"> animals). Breeds of the animals were local, cross and exotic (pure).</w:t>
      </w:r>
    </w:p>
    <w:p w:rsidR="00B3385D" w:rsidRDefault="00B3385D" w:rsidP="00B3385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A42B0" w:rsidRDefault="00FA42B0" w:rsidP="00FA4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2B0" w:rsidRDefault="00FA42B0" w:rsidP="00FA4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FE" w:rsidRPr="00FA42B0" w:rsidRDefault="000D7D6A" w:rsidP="00FA4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D0E8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4FE" w:rsidRPr="00053DB2">
        <w:rPr>
          <w:rFonts w:ascii="Times New Roman" w:hAnsi="Times New Roman" w:cs="Times New Roman"/>
          <w:b/>
          <w:sz w:val="24"/>
          <w:szCs w:val="24"/>
        </w:rPr>
        <w:t>Comparative prevalence</w:t>
      </w:r>
    </w:p>
    <w:p w:rsidR="00FA42B0" w:rsidRPr="00FA42B0" w:rsidRDefault="00FA42B0" w:rsidP="00FB0B94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4A24EE" w:rsidRPr="00053DB2" w:rsidRDefault="005D0E83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4. 2. 1</w:t>
      </w:r>
      <w:r w:rsidR="000D7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D2F" w:rsidRPr="00053DB2">
        <w:rPr>
          <w:rFonts w:ascii="Times New Roman" w:hAnsi="Times New Roman" w:cs="Times New Roman"/>
          <w:b/>
          <w:sz w:val="24"/>
          <w:szCs w:val="24"/>
        </w:rPr>
        <w:t>Breed</w:t>
      </w:r>
      <w:r w:rsidR="004A24EE" w:rsidRPr="00053DB2">
        <w:rPr>
          <w:rFonts w:ascii="Times New Roman" w:hAnsi="Times New Roman" w:cs="Times New Roman"/>
          <w:b/>
          <w:sz w:val="24"/>
          <w:szCs w:val="24"/>
        </w:rPr>
        <w:t>, age, sex and BCS wise prevalence</w:t>
      </w:r>
      <w:r w:rsidR="00BA4D2F" w:rsidRPr="00053DB2">
        <w:rPr>
          <w:rFonts w:ascii="Times New Roman" w:hAnsi="Times New Roman" w:cs="Times New Roman"/>
          <w:b/>
          <w:sz w:val="24"/>
          <w:szCs w:val="24"/>
        </w:rPr>
        <w:t>:</w:t>
      </w:r>
    </w:p>
    <w:p w:rsidR="00234E6C" w:rsidRPr="00053DB2" w:rsidRDefault="00245BA2" w:rsidP="00FB0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sz w:val="24"/>
          <w:szCs w:val="24"/>
        </w:rPr>
        <w:t>The breed, age, sex and BCS specific prevalen</w:t>
      </w:r>
      <w:r w:rsidR="005D0E83">
        <w:rPr>
          <w:rFonts w:ascii="Times New Roman" w:hAnsi="Times New Roman" w:cs="Times New Roman"/>
          <w:sz w:val="24"/>
          <w:szCs w:val="24"/>
        </w:rPr>
        <w:t xml:space="preserve">ce of </w:t>
      </w:r>
      <w:proofErr w:type="spellStart"/>
      <w:r w:rsidR="005D0E83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5D0E83">
        <w:rPr>
          <w:rFonts w:ascii="Times New Roman" w:hAnsi="Times New Roman" w:cs="Times New Roman"/>
          <w:sz w:val="24"/>
          <w:szCs w:val="24"/>
        </w:rPr>
        <w:t xml:space="preserve"> is shown in Fig 13</w:t>
      </w:r>
      <w:r w:rsidRPr="00053DB2">
        <w:rPr>
          <w:rFonts w:ascii="Times New Roman" w:hAnsi="Times New Roman" w:cs="Times New Roman"/>
          <w:sz w:val="24"/>
          <w:szCs w:val="24"/>
        </w:rPr>
        <w:t xml:space="preserve">. </w:t>
      </w:r>
      <w:r w:rsidR="00BA4D2F" w:rsidRPr="00053DB2">
        <w:rPr>
          <w:rFonts w:ascii="Times New Roman" w:hAnsi="Times New Roman" w:cs="Times New Roman"/>
          <w:sz w:val="24"/>
          <w:szCs w:val="24"/>
        </w:rPr>
        <w:t xml:space="preserve">The prevalence of </w:t>
      </w:r>
      <w:proofErr w:type="spellStart"/>
      <w:r w:rsidR="00BA4D2F"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FE029D">
        <w:rPr>
          <w:rFonts w:ascii="Times New Roman" w:hAnsi="Times New Roman" w:cs="Times New Roman"/>
          <w:sz w:val="24"/>
          <w:szCs w:val="24"/>
        </w:rPr>
        <w:t xml:space="preserve"> wa</w:t>
      </w:r>
      <w:r w:rsidR="00FC2724">
        <w:rPr>
          <w:rFonts w:ascii="Times New Roman" w:hAnsi="Times New Roman" w:cs="Times New Roman"/>
          <w:sz w:val="24"/>
          <w:szCs w:val="24"/>
        </w:rPr>
        <w:t>s higher in cross breed (35.5</w:t>
      </w:r>
      <w:r w:rsidRPr="00053DB2">
        <w:rPr>
          <w:rFonts w:ascii="Times New Roman" w:hAnsi="Times New Roman" w:cs="Times New Roman"/>
          <w:sz w:val="24"/>
          <w:szCs w:val="24"/>
        </w:rPr>
        <w:t xml:space="preserve">%) than the local </w:t>
      </w:r>
      <w:r w:rsidR="00FC2724">
        <w:rPr>
          <w:rFonts w:ascii="Times New Roman" w:hAnsi="Times New Roman" w:cs="Times New Roman"/>
          <w:sz w:val="24"/>
          <w:szCs w:val="24"/>
        </w:rPr>
        <w:t>(33</w:t>
      </w:r>
      <w:r w:rsidR="00BA4D2F" w:rsidRPr="00053DB2">
        <w:rPr>
          <w:rFonts w:ascii="Times New Roman" w:hAnsi="Times New Roman" w:cs="Times New Roman"/>
          <w:sz w:val="24"/>
          <w:szCs w:val="24"/>
        </w:rPr>
        <w:t>.</w:t>
      </w:r>
      <w:r w:rsidR="00FC2724">
        <w:rPr>
          <w:rFonts w:ascii="Times New Roman" w:hAnsi="Times New Roman" w:cs="Times New Roman"/>
          <w:sz w:val="24"/>
          <w:szCs w:val="24"/>
        </w:rPr>
        <w:t>5</w:t>
      </w:r>
      <w:r w:rsidRPr="00053DB2">
        <w:rPr>
          <w:rFonts w:ascii="Times New Roman" w:hAnsi="Times New Roman" w:cs="Times New Roman"/>
          <w:sz w:val="24"/>
          <w:szCs w:val="24"/>
        </w:rPr>
        <w:t>%)</w:t>
      </w:r>
      <w:r w:rsidR="00FE029D">
        <w:rPr>
          <w:rFonts w:ascii="Times New Roman" w:hAnsi="Times New Roman" w:cs="Times New Roman"/>
          <w:sz w:val="24"/>
          <w:szCs w:val="24"/>
        </w:rPr>
        <w:t>. It was lower in Black Bengal</w:t>
      </w:r>
      <w:r w:rsidRPr="00053DB2">
        <w:rPr>
          <w:rFonts w:ascii="Times New Roman" w:hAnsi="Times New Roman" w:cs="Times New Roman"/>
          <w:sz w:val="24"/>
          <w:szCs w:val="24"/>
        </w:rPr>
        <w:t xml:space="preserve"> (</w:t>
      </w:r>
      <w:r w:rsidR="00FC2724">
        <w:rPr>
          <w:rFonts w:ascii="Times New Roman" w:hAnsi="Times New Roman" w:cs="Times New Roman"/>
          <w:sz w:val="24"/>
          <w:szCs w:val="24"/>
        </w:rPr>
        <w:t>4.8</w:t>
      </w:r>
      <w:r w:rsidRPr="00053DB2">
        <w:rPr>
          <w:rFonts w:ascii="Times New Roman" w:hAnsi="Times New Roman" w:cs="Times New Roman"/>
          <w:sz w:val="24"/>
          <w:szCs w:val="24"/>
        </w:rPr>
        <w:t xml:space="preserve">%). </w:t>
      </w:r>
      <w:r w:rsidR="00E83953">
        <w:rPr>
          <w:rFonts w:ascii="Times New Roman" w:hAnsi="Times New Roman" w:cs="Times New Roman"/>
          <w:sz w:val="24"/>
          <w:szCs w:val="24"/>
        </w:rPr>
        <w:t>In addition, m</w:t>
      </w:r>
      <w:r w:rsidRPr="00053DB2">
        <w:rPr>
          <w:rFonts w:ascii="Times New Roman" w:hAnsi="Times New Roman" w:cs="Times New Roman"/>
          <w:sz w:val="24"/>
          <w:szCs w:val="24"/>
        </w:rPr>
        <w:t xml:space="preserve">ore than 6 months old </w:t>
      </w:r>
      <w:r w:rsidR="00FE029D">
        <w:rPr>
          <w:rFonts w:ascii="Times New Roman" w:hAnsi="Times New Roman" w:cs="Times New Roman"/>
          <w:sz w:val="24"/>
          <w:szCs w:val="24"/>
        </w:rPr>
        <w:t>goats we</w:t>
      </w:r>
      <w:r w:rsidR="00A34EFB" w:rsidRPr="00053DB2">
        <w:rPr>
          <w:rFonts w:ascii="Times New Roman" w:hAnsi="Times New Roman" w:cs="Times New Roman"/>
          <w:sz w:val="24"/>
          <w:szCs w:val="24"/>
        </w:rPr>
        <w:t>re</w:t>
      </w:r>
      <w:r w:rsidRPr="00053DB2">
        <w:rPr>
          <w:rFonts w:ascii="Times New Roman" w:hAnsi="Times New Roman" w:cs="Times New Roman"/>
          <w:sz w:val="24"/>
          <w:szCs w:val="24"/>
        </w:rPr>
        <w:t xml:space="preserve"> more susceptible to </w:t>
      </w:r>
      <w:proofErr w:type="spellStart"/>
      <w:r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Pr="00053DB2">
        <w:rPr>
          <w:rFonts w:ascii="Times New Roman" w:hAnsi="Times New Roman" w:cs="Times New Roman"/>
          <w:sz w:val="24"/>
          <w:szCs w:val="24"/>
        </w:rPr>
        <w:t xml:space="preserve"> (</w:t>
      </w:r>
      <w:r w:rsidR="00FC2724">
        <w:rPr>
          <w:rFonts w:ascii="Times New Roman" w:hAnsi="Times New Roman" w:cs="Times New Roman"/>
          <w:sz w:val="24"/>
          <w:szCs w:val="24"/>
        </w:rPr>
        <w:t>69.8</w:t>
      </w:r>
      <w:r w:rsidRPr="00053DB2">
        <w:rPr>
          <w:rFonts w:ascii="Times New Roman" w:hAnsi="Times New Roman" w:cs="Times New Roman"/>
          <w:sz w:val="24"/>
          <w:szCs w:val="24"/>
        </w:rPr>
        <w:t>%).</w:t>
      </w:r>
      <w:r w:rsidR="00A34EFB" w:rsidRPr="00053DB2">
        <w:rPr>
          <w:rFonts w:ascii="Times New Roman" w:hAnsi="Times New Roman" w:cs="Times New Roman"/>
          <w:sz w:val="24"/>
          <w:szCs w:val="24"/>
        </w:rPr>
        <w:t xml:space="preserve"> </w:t>
      </w:r>
      <w:r w:rsidR="00E83953">
        <w:rPr>
          <w:rFonts w:ascii="Times New Roman" w:hAnsi="Times New Roman" w:cs="Times New Roman"/>
          <w:sz w:val="24"/>
          <w:szCs w:val="24"/>
        </w:rPr>
        <w:t>Moreover, f</w:t>
      </w:r>
      <w:r w:rsidR="00FE029D">
        <w:rPr>
          <w:rFonts w:ascii="Times New Roman" w:hAnsi="Times New Roman" w:cs="Times New Roman"/>
          <w:sz w:val="24"/>
          <w:szCs w:val="24"/>
        </w:rPr>
        <w:t>emale we</w:t>
      </w:r>
      <w:r w:rsidR="00A34EFB" w:rsidRPr="00053DB2">
        <w:rPr>
          <w:rFonts w:ascii="Times New Roman" w:hAnsi="Times New Roman" w:cs="Times New Roman"/>
          <w:sz w:val="24"/>
          <w:szCs w:val="24"/>
        </w:rPr>
        <w:t>re mostly affected (6</w:t>
      </w:r>
      <w:r w:rsidR="00FC2724">
        <w:rPr>
          <w:rFonts w:ascii="Times New Roman" w:hAnsi="Times New Roman" w:cs="Times New Roman"/>
          <w:sz w:val="24"/>
          <w:szCs w:val="24"/>
        </w:rPr>
        <w:t>2</w:t>
      </w:r>
      <w:r w:rsidR="00A34EFB" w:rsidRPr="00053DB2">
        <w:rPr>
          <w:rFonts w:ascii="Times New Roman" w:hAnsi="Times New Roman" w:cs="Times New Roman"/>
          <w:sz w:val="24"/>
          <w:szCs w:val="24"/>
        </w:rPr>
        <w:t>.5%) with this disease than the male (3</w:t>
      </w:r>
      <w:r w:rsidR="00FC2724">
        <w:rPr>
          <w:rFonts w:ascii="Times New Roman" w:hAnsi="Times New Roman" w:cs="Times New Roman"/>
          <w:sz w:val="24"/>
          <w:szCs w:val="24"/>
        </w:rPr>
        <w:t>7</w:t>
      </w:r>
      <w:r w:rsidR="00A34EFB" w:rsidRPr="00053DB2">
        <w:rPr>
          <w:rFonts w:ascii="Times New Roman" w:hAnsi="Times New Roman" w:cs="Times New Roman"/>
          <w:sz w:val="24"/>
          <w:szCs w:val="24"/>
        </w:rPr>
        <w:t xml:space="preserve">.5%). </w:t>
      </w:r>
      <w:r w:rsidR="00476C79" w:rsidRPr="00053DB2">
        <w:rPr>
          <w:rFonts w:ascii="Times New Roman" w:hAnsi="Times New Roman" w:cs="Times New Roman"/>
          <w:sz w:val="24"/>
          <w:szCs w:val="24"/>
        </w:rPr>
        <w:t>However, goat</w:t>
      </w:r>
      <w:r w:rsidR="00FE029D">
        <w:rPr>
          <w:rFonts w:ascii="Times New Roman" w:hAnsi="Times New Roman" w:cs="Times New Roman"/>
          <w:sz w:val="24"/>
          <w:szCs w:val="24"/>
        </w:rPr>
        <w:t>s whose body condition was</w:t>
      </w:r>
      <w:r w:rsidR="00476C79" w:rsidRPr="00053DB2">
        <w:rPr>
          <w:rFonts w:ascii="Times New Roman" w:hAnsi="Times New Roman" w:cs="Times New Roman"/>
          <w:sz w:val="24"/>
          <w:szCs w:val="24"/>
        </w:rPr>
        <w:t xml:space="preserve"> fair </w:t>
      </w:r>
      <w:r w:rsidR="00FE029D">
        <w:rPr>
          <w:rFonts w:ascii="Times New Roman" w:hAnsi="Times New Roman" w:cs="Times New Roman"/>
          <w:sz w:val="24"/>
          <w:szCs w:val="24"/>
        </w:rPr>
        <w:t>we</w:t>
      </w:r>
      <w:r w:rsidR="001F2F55" w:rsidRPr="00053DB2">
        <w:rPr>
          <w:rFonts w:ascii="Times New Roman" w:hAnsi="Times New Roman" w:cs="Times New Roman"/>
          <w:sz w:val="24"/>
          <w:szCs w:val="24"/>
        </w:rPr>
        <w:t>re</w:t>
      </w:r>
      <w:r w:rsidR="00476C79" w:rsidRPr="00053DB2">
        <w:rPr>
          <w:rFonts w:ascii="Times New Roman" w:hAnsi="Times New Roman" w:cs="Times New Roman"/>
          <w:sz w:val="24"/>
          <w:szCs w:val="24"/>
        </w:rPr>
        <w:t xml:space="preserve"> </w:t>
      </w:r>
      <w:r w:rsidR="00FC2724">
        <w:rPr>
          <w:rFonts w:ascii="Times New Roman" w:hAnsi="Times New Roman" w:cs="Times New Roman"/>
          <w:sz w:val="24"/>
          <w:szCs w:val="24"/>
        </w:rPr>
        <w:t xml:space="preserve">very much prone to </w:t>
      </w:r>
      <w:proofErr w:type="spellStart"/>
      <w:r w:rsidR="00FC2724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FC2724">
        <w:rPr>
          <w:rFonts w:ascii="Times New Roman" w:hAnsi="Times New Roman" w:cs="Times New Roman"/>
          <w:sz w:val="24"/>
          <w:szCs w:val="24"/>
        </w:rPr>
        <w:t xml:space="preserve"> (40.3</w:t>
      </w:r>
      <w:r w:rsidR="001F2F55" w:rsidRPr="00053DB2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F2F55" w:rsidRPr="00053DB2">
        <w:rPr>
          <w:rFonts w:ascii="Times New Roman" w:hAnsi="Times New Roman" w:cs="Times New Roman"/>
          <w:sz w:val="24"/>
          <w:szCs w:val="24"/>
        </w:rPr>
        <w:t>)</w:t>
      </w:r>
      <w:r w:rsidR="00E33E1E">
        <w:rPr>
          <w:rFonts w:ascii="Times New Roman" w:hAnsi="Times New Roman" w:cs="Times New Roman"/>
          <w:sz w:val="24"/>
          <w:szCs w:val="24"/>
        </w:rPr>
        <w:t xml:space="preserve"> </w:t>
      </w:r>
      <w:r w:rsidR="00FC27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B45" w:rsidRPr="00053DB2" w:rsidRDefault="004A24EE" w:rsidP="00FB0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4143375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D6A" w:rsidRPr="005D0E83" w:rsidRDefault="00AD1DEC" w:rsidP="005D0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83">
        <w:rPr>
          <w:rFonts w:ascii="Times New Roman" w:hAnsi="Times New Roman" w:cs="Times New Roman"/>
          <w:b/>
          <w:sz w:val="24"/>
          <w:szCs w:val="24"/>
        </w:rPr>
        <w:t>Fig</w:t>
      </w:r>
      <w:r w:rsidR="005D0E83" w:rsidRPr="005D0E83">
        <w:rPr>
          <w:rFonts w:ascii="Times New Roman" w:hAnsi="Times New Roman" w:cs="Times New Roman"/>
          <w:b/>
          <w:sz w:val="24"/>
          <w:szCs w:val="24"/>
        </w:rPr>
        <w:t>ure 13</w:t>
      </w:r>
      <w:r w:rsidRPr="005D0E83">
        <w:rPr>
          <w:rFonts w:ascii="Times New Roman" w:hAnsi="Times New Roman" w:cs="Times New Roman"/>
          <w:b/>
          <w:sz w:val="24"/>
          <w:szCs w:val="24"/>
        </w:rPr>
        <w:t xml:space="preserve">: Prevalence of </w:t>
      </w:r>
      <w:proofErr w:type="spellStart"/>
      <w:r w:rsidRPr="005D0E83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Pr="005D0E83">
        <w:rPr>
          <w:rFonts w:ascii="Times New Roman" w:hAnsi="Times New Roman" w:cs="Times New Roman"/>
          <w:b/>
          <w:sz w:val="24"/>
          <w:szCs w:val="24"/>
        </w:rPr>
        <w:t xml:space="preserve"> in accordance to breed, age, sex and BCS.</w:t>
      </w:r>
    </w:p>
    <w:p w:rsidR="005D0E83" w:rsidRPr="00FA42B0" w:rsidRDefault="005D0E83" w:rsidP="005D0E8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45BA2" w:rsidRPr="00053DB2" w:rsidRDefault="005D0E83" w:rsidP="00FB0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4. 2. 2</w:t>
      </w:r>
      <w:r w:rsidR="000D7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BA2" w:rsidRPr="00053DB2">
        <w:rPr>
          <w:rFonts w:ascii="Times New Roman" w:hAnsi="Times New Roman" w:cs="Times New Roman"/>
          <w:b/>
          <w:sz w:val="24"/>
          <w:szCs w:val="24"/>
        </w:rPr>
        <w:t xml:space="preserve">Comparison of </w:t>
      </w:r>
      <w:proofErr w:type="spellStart"/>
      <w:r w:rsidR="00245BA2" w:rsidRPr="00053DB2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245BA2" w:rsidRPr="0005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B7A">
        <w:rPr>
          <w:rFonts w:ascii="Times New Roman" w:hAnsi="Times New Roman" w:cs="Times New Roman"/>
          <w:b/>
          <w:sz w:val="24"/>
          <w:szCs w:val="24"/>
        </w:rPr>
        <w:t>among</w:t>
      </w:r>
      <w:r w:rsidR="00245BA2" w:rsidRPr="00053DB2">
        <w:rPr>
          <w:rFonts w:ascii="Times New Roman" w:hAnsi="Times New Roman" w:cs="Times New Roman"/>
          <w:b/>
          <w:sz w:val="24"/>
          <w:szCs w:val="24"/>
        </w:rPr>
        <w:t xml:space="preserve"> different breed</w:t>
      </w:r>
      <w:r w:rsidR="00B17B7A">
        <w:rPr>
          <w:rFonts w:ascii="Times New Roman" w:hAnsi="Times New Roman" w:cs="Times New Roman"/>
          <w:b/>
          <w:sz w:val="24"/>
          <w:szCs w:val="24"/>
        </w:rPr>
        <w:t>s</w:t>
      </w:r>
      <w:r w:rsidR="00245BA2" w:rsidRPr="00053DB2">
        <w:rPr>
          <w:rFonts w:ascii="Times New Roman" w:hAnsi="Times New Roman" w:cs="Times New Roman"/>
          <w:b/>
          <w:sz w:val="24"/>
          <w:szCs w:val="24"/>
        </w:rPr>
        <w:t xml:space="preserve"> of goat:</w:t>
      </w:r>
    </w:p>
    <w:p w:rsidR="00245BA2" w:rsidRPr="00053DB2" w:rsidRDefault="00245BA2" w:rsidP="00FB0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sz w:val="24"/>
          <w:szCs w:val="24"/>
        </w:rPr>
        <w:t>Among that 4 different breed</w:t>
      </w:r>
      <w:r w:rsidR="00A8699D">
        <w:rPr>
          <w:rFonts w:ascii="Times New Roman" w:hAnsi="Times New Roman" w:cs="Times New Roman"/>
          <w:sz w:val="24"/>
          <w:szCs w:val="24"/>
        </w:rPr>
        <w:t>s</w:t>
      </w:r>
      <w:r w:rsidRPr="00053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DB2">
        <w:rPr>
          <w:rFonts w:ascii="Times New Roman" w:hAnsi="Times New Roman" w:cs="Times New Roman"/>
          <w:sz w:val="24"/>
          <w:szCs w:val="24"/>
        </w:rPr>
        <w:t>Jamnapari</w:t>
      </w:r>
      <w:proofErr w:type="spellEnd"/>
      <w:r w:rsidRPr="00053DB2">
        <w:rPr>
          <w:rFonts w:ascii="Times New Roman" w:hAnsi="Times New Roman" w:cs="Times New Roman"/>
          <w:sz w:val="24"/>
          <w:szCs w:val="24"/>
        </w:rPr>
        <w:t xml:space="preserve"> </w:t>
      </w:r>
      <w:r w:rsidR="00DD4B41" w:rsidRPr="00053DB2">
        <w:rPr>
          <w:rFonts w:ascii="Times New Roman" w:hAnsi="Times New Roman" w:cs="Times New Roman"/>
          <w:sz w:val="24"/>
          <w:szCs w:val="24"/>
        </w:rPr>
        <w:t>goat</w:t>
      </w:r>
      <w:r w:rsidR="00282BBA" w:rsidRPr="00053DB2">
        <w:rPr>
          <w:rFonts w:ascii="Times New Roman" w:hAnsi="Times New Roman" w:cs="Times New Roman"/>
          <w:sz w:val="24"/>
          <w:szCs w:val="24"/>
        </w:rPr>
        <w:t>s</w:t>
      </w:r>
      <w:r w:rsidR="00FE029D">
        <w:rPr>
          <w:rFonts w:ascii="Times New Roman" w:hAnsi="Times New Roman" w:cs="Times New Roman"/>
          <w:sz w:val="24"/>
          <w:szCs w:val="24"/>
        </w:rPr>
        <w:t xml:space="preserve"> we</w:t>
      </w:r>
      <w:r w:rsidR="00DD4B41" w:rsidRPr="00053DB2">
        <w:rPr>
          <w:rFonts w:ascii="Times New Roman" w:hAnsi="Times New Roman" w:cs="Times New Roman"/>
          <w:sz w:val="24"/>
          <w:szCs w:val="24"/>
        </w:rPr>
        <w:t xml:space="preserve">re frequently attacked </w:t>
      </w:r>
      <w:r w:rsidR="00A8699D">
        <w:rPr>
          <w:rFonts w:ascii="Times New Roman" w:hAnsi="Times New Roman" w:cs="Times New Roman"/>
          <w:sz w:val="24"/>
          <w:szCs w:val="24"/>
        </w:rPr>
        <w:t>by</w:t>
      </w:r>
      <w:r w:rsidR="00DD4B41" w:rsidRPr="0005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41"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DD4B41" w:rsidRPr="00053DB2">
        <w:rPr>
          <w:rFonts w:ascii="Times New Roman" w:hAnsi="Times New Roman" w:cs="Times New Roman"/>
          <w:sz w:val="24"/>
          <w:szCs w:val="24"/>
        </w:rPr>
        <w:t xml:space="preserve"> causing </w:t>
      </w:r>
      <w:r w:rsidR="00A8699D">
        <w:rPr>
          <w:rFonts w:ascii="Times New Roman" w:hAnsi="Times New Roman" w:cs="Times New Roman"/>
          <w:sz w:val="24"/>
          <w:szCs w:val="24"/>
        </w:rPr>
        <w:t xml:space="preserve">fly </w:t>
      </w:r>
      <w:r w:rsidR="00DD4B41" w:rsidRPr="00053DB2">
        <w:rPr>
          <w:rFonts w:ascii="Times New Roman" w:hAnsi="Times New Roman" w:cs="Times New Roman"/>
          <w:sz w:val="24"/>
          <w:szCs w:val="24"/>
        </w:rPr>
        <w:t>larvae (15-40 larvae = 61%)</w:t>
      </w:r>
      <w:r w:rsidR="00A8699D">
        <w:rPr>
          <w:rFonts w:ascii="Times New Roman" w:hAnsi="Times New Roman" w:cs="Times New Roman"/>
          <w:sz w:val="24"/>
          <w:szCs w:val="24"/>
        </w:rPr>
        <w:t xml:space="preserve"> w</w:t>
      </w:r>
      <w:r w:rsidR="00FE029D">
        <w:rPr>
          <w:rFonts w:ascii="Times New Roman" w:hAnsi="Times New Roman" w:cs="Times New Roman"/>
          <w:sz w:val="24"/>
          <w:szCs w:val="24"/>
        </w:rPr>
        <w:t>hether local goats we</w:t>
      </w:r>
      <w:r w:rsidR="00DD4B41" w:rsidRPr="00053DB2">
        <w:rPr>
          <w:rFonts w:ascii="Times New Roman" w:hAnsi="Times New Roman" w:cs="Times New Roman"/>
          <w:sz w:val="24"/>
          <w:szCs w:val="24"/>
        </w:rPr>
        <w:t>re less af</w:t>
      </w:r>
      <w:r w:rsidR="00FE029D">
        <w:rPr>
          <w:rFonts w:ascii="Times New Roman" w:hAnsi="Times New Roman" w:cs="Times New Roman"/>
          <w:sz w:val="24"/>
          <w:szCs w:val="24"/>
        </w:rPr>
        <w:t xml:space="preserve">fected (&gt; 40 </w:t>
      </w:r>
      <w:r w:rsidR="00FE029D">
        <w:rPr>
          <w:rFonts w:ascii="Times New Roman" w:hAnsi="Times New Roman" w:cs="Times New Roman"/>
          <w:sz w:val="24"/>
          <w:szCs w:val="24"/>
        </w:rPr>
        <w:lastRenderedPageBreak/>
        <w:t>larvae = 45%). It i</w:t>
      </w:r>
      <w:r w:rsidR="00DD4B41" w:rsidRPr="00053DB2">
        <w:rPr>
          <w:rFonts w:ascii="Times New Roman" w:hAnsi="Times New Roman" w:cs="Times New Roman"/>
          <w:sz w:val="24"/>
          <w:szCs w:val="24"/>
        </w:rPr>
        <w:t xml:space="preserve">s showed that, Cross breed </w:t>
      </w:r>
      <w:r w:rsidR="00FE029D">
        <w:rPr>
          <w:rFonts w:ascii="Times New Roman" w:hAnsi="Times New Roman" w:cs="Times New Roman"/>
          <w:sz w:val="24"/>
          <w:szCs w:val="24"/>
        </w:rPr>
        <w:t>we</w:t>
      </w:r>
      <w:r w:rsidR="00282BBA" w:rsidRPr="00053DB2">
        <w:rPr>
          <w:rFonts w:ascii="Times New Roman" w:hAnsi="Times New Roman" w:cs="Times New Roman"/>
          <w:sz w:val="24"/>
          <w:szCs w:val="24"/>
        </w:rPr>
        <w:t xml:space="preserve">re commonly attacked with </w:t>
      </w:r>
      <w:proofErr w:type="spellStart"/>
      <w:r w:rsidR="00282BBA"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282BBA" w:rsidRPr="00053DB2">
        <w:rPr>
          <w:rFonts w:ascii="Times New Roman" w:hAnsi="Times New Roman" w:cs="Times New Roman"/>
          <w:sz w:val="24"/>
          <w:szCs w:val="24"/>
        </w:rPr>
        <w:t xml:space="preserve"> (&gt; 40 larvae = 40%) </w:t>
      </w:r>
      <w:bookmarkStart w:id="0" w:name="_GoBack"/>
      <w:bookmarkEnd w:id="0"/>
      <w:r w:rsidR="00A8699D" w:rsidRPr="00053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83">
        <w:rPr>
          <w:rFonts w:ascii="Times New Roman" w:hAnsi="Times New Roman" w:cs="Times New Roman"/>
          <w:sz w:val="24"/>
          <w:szCs w:val="24"/>
        </w:rPr>
        <w:t>(Table 4 and Figure 14</w:t>
      </w:r>
      <w:r w:rsidR="00282BBA" w:rsidRPr="00053DB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5BA2" w:rsidRPr="00053DB2" w:rsidRDefault="00245BA2" w:rsidP="00FB0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3400425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57EC" w:rsidRPr="00FA42B0" w:rsidRDefault="005D0E83" w:rsidP="00FA4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B0">
        <w:rPr>
          <w:rFonts w:ascii="Times New Roman" w:hAnsi="Times New Roman" w:cs="Times New Roman"/>
          <w:b/>
          <w:sz w:val="24"/>
          <w:szCs w:val="24"/>
        </w:rPr>
        <w:t>Fig 14</w:t>
      </w:r>
      <w:r w:rsidR="00FA42B0" w:rsidRPr="00FA42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A42B0" w:rsidRPr="00FA42B0">
        <w:rPr>
          <w:rFonts w:ascii="Times New Roman" w:hAnsi="Times New Roman" w:cs="Times New Roman"/>
          <w:b/>
          <w:sz w:val="24"/>
          <w:szCs w:val="24"/>
        </w:rPr>
        <w:t>M</w:t>
      </w:r>
      <w:r w:rsidR="00245BA2" w:rsidRPr="00FA42B0">
        <w:rPr>
          <w:rFonts w:ascii="Times New Roman" w:hAnsi="Times New Roman" w:cs="Times New Roman"/>
          <w:b/>
          <w:sz w:val="24"/>
          <w:szCs w:val="24"/>
        </w:rPr>
        <w:t>yiasis</w:t>
      </w:r>
      <w:proofErr w:type="spellEnd"/>
      <w:r w:rsidR="00245BA2" w:rsidRPr="00FA42B0">
        <w:rPr>
          <w:rFonts w:ascii="Times New Roman" w:hAnsi="Times New Roman" w:cs="Times New Roman"/>
          <w:b/>
          <w:sz w:val="24"/>
          <w:szCs w:val="24"/>
        </w:rPr>
        <w:t xml:space="preserve"> in Black Bengal</w:t>
      </w:r>
      <w:r w:rsidR="002319A4" w:rsidRPr="00FA42B0">
        <w:rPr>
          <w:rFonts w:ascii="Times New Roman" w:hAnsi="Times New Roman" w:cs="Times New Roman"/>
          <w:b/>
          <w:sz w:val="24"/>
          <w:szCs w:val="24"/>
        </w:rPr>
        <w:t xml:space="preserve"> (BB)</w:t>
      </w:r>
      <w:r w:rsidR="00245BA2" w:rsidRPr="00FA42B0">
        <w:rPr>
          <w:rFonts w:ascii="Times New Roman" w:hAnsi="Times New Roman" w:cs="Times New Roman"/>
          <w:b/>
          <w:sz w:val="24"/>
          <w:szCs w:val="24"/>
        </w:rPr>
        <w:t>, Cross breed</w:t>
      </w:r>
      <w:r w:rsidR="00282BBA" w:rsidRPr="00FA42B0">
        <w:rPr>
          <w:rFonts w:ascii="Times New Roman" w:hAnsi="Times New Roman" w:cs="Times New Roman"/>
          <w:b/>
          <w:sz w:val="24"/>
          <w:szCs w:val="24"/>
        </w:rPr>
        <w:t>,</w:t>
      </w:r>
      <w:r w:rsidR="00245BA2" w:rsidRPr="00FA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BBA" w:rsidRPr="00FA42B0">
        <w:rPr>
          <w:rFonts w:ascii="Times New Roman" w:hAnsi="Times New Roman" w:cs="Times New Roman"/>
          <w:b/>
          <w:sz w:val="24"/>
          <w:szCs w:val="24"/>
        </w:rPr>
        <w:t>Jamnapari</w:t>
      </w:r>
      <w:proofErr w:type="spellEnd"/>
      <w:r w:rsidR="002319A4" w:rsidRPr="00FA42B0">
        <w:rPr>
          <w:rFonts w:ascii="Times New Roman" w:hAnsi="Times New Roman" w:cs="Times New Roman"/>
          <w:b/>
          <w:sz w:val="24"/>
          <w:szCs w:val="24"/>
        </w:rPr>
        <w:t xml:space="preserve"> (JP)</w:t>
      </w:r>
      <w:r w:rsidR="00282BBA" w:rsidRPr="00FA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BA2" w:rsidRPr="00FA42B0">
        <w:rPr>
          <w:rFonts w:ascii="Times New Roman" w:hAnsi="Times New Roman" w:cs="Times New Roman"/>
          <w:b/>
          <w:sz w:val="24"/>
          <w:szCs w:val="24"/>
        </w:rPr>
        <w:t>and Local goats.</w:t>
      </w:r>
    </w:p>
    <w:p w:rsidR="00FA42B0" w:rsidRPr="00FA42B0" w:rsidRDefault="00FA42B0" w:rsidP="00FB0B94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245BA2" w:rsidRPr="00053DB2" w:rsidRDefault="005D0E83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4. 2. 3</w:t>
      </w:r>
      <w:r w:rsidR="000D7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528D" w:rsidRPr="00053DB2">
        <w:rPr>
          <w:rFonts w:ascii="Times New Roman" w:hAnsi="Times New Roman" w:cs="Times New Roman"/>
          <w:b/>
          <w:sz w:val="24"/>
          <w:szCs w:val="24"/>
        </w:rPr>
        <w:t xml:space="preserve">Prevalence of </w:t>
      </w:r>
      <w:proofErr w:type="spellStart"/>
      <w:r w:rsidR="00C4528D" w:rsidRPr="00053DB2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C4528D" w:rsidRPr="00053DB2">
        <w:rPr>
          <w:rFonts w:ascii="Times New Roman" w:hAnsi="Times New Roman" w:cs="Times New Roman"/>
          <w:b/>
          <w:sz w:val="24"/>
          <w:szCs w:val="24"/>
        </w:rPr>
        <w:t xml:space="preserve"> according to season:</w:t>
      </w:r>
    </w:p>
    <w:p w:rsidR="000360B6" w:rsidRPr="00053DB2" w:rsidRDefault="00D778AA" w:rsidP="00FA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sz w:val="24"/>
          <w:szCs w:val="24"/>
        </w:rPr>
        <w:t xml:space="preserve">Among the four consecutive seasons </w:t>
      </w:r>
      <w:r w:rsidR="00BC3A88">
        <w:rPr>
          <w:rFonts w:ascii="Times New Roman" w:hAnsi="Times New Roman" w:cs="Times New Roman"/>
          <w:sz w:val="24"/>
          <w:szCs w:val="24"/>
        </w:rPr>
        <w:t>studied</w:t>
      </w:r>
      <w:r w:rsidRPr="00053DB2">
        <w:rPr>
          <w:rFonts w:ascii="Times New Roman" w:hAnsi="Times New Roman" w:cs="Times New Roman"/>
          <w:sz w:val="24"/>
          <w:szCs w:val="24"/>
        </w:rPr>
        <w:t xml:space="preserve">, the </w:t>
      </w:r>
      <w:r w:rsidR="00BC3A88">
        <w:rPr>
          <w:rFonts w:ascii="Times New Roman" w:hAnsi="Times New Roman" w:cs="Times New Roman"/>
          <w:sz w:val="24"/>
          <w:szCs w:val="24"/>
        </w:rPr>
        <w:t xml:space="preserve">prevalence of </w:t>
      </w:r>
      <w:proofErr w:type="spellStart"/>
      <w:r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Pr="00053DB2">
        <w:rPr>
          <w:rFonts w:ascii="Times New Roman" w:hAnsi="Times New Roman" w:cs="Times New Roman"/>
          <w:sz w:val="24"/>
          <w:szCs w:val="24"/>
        </w:rPr>
        <w:t xml:space="preserve"> w</w:t>
      </w:r>
      <w:r w:rsidR="00BC3A88">
        <w:rPr>
          <w:rFonts w:ascii="Times New Roman" w:hAnsi="Times New Roman" w:cs="Times New Roman"/>
          <w:sz w:val="24"/>
          <w:szCs w:val="24"/>
        </w:rPr>
        <w:t>as</w:t>
      </w:r>
      <w:r w:rsidRPr="00053DB2">
        <w:rPr>
          <w:rFonts w:ascii="Times New Roman" w:hAnsi="Times New Roman" w:cs="Times New Roman"/>
          <w:sz w:val="24"/>
          <w:szCs w:val="24"/>
        </w:rPr>
        <w:t xml:space="preserve"> ex</w:t>
      </w:r>
      <w:r w:rsidR="00BC3A88">
        <w:rPr>
          <w:rFonts w:ascii="Times New Roman" w:hAnsi="Times New Roman" w:cs="Times New Roman"/>
          <w:sz w:val="24"/>
          <w:szCs w:val="24"/>
        </w:rPr>
        <w:t>plor</w:t>
      </w:r>
      <w:r w:rsidRPr="00053DB2">
        <w:rPr>
          <w:rFonts w:ascii="Times New Roman" w:hAnsi="Times New Roman" w:cs="Times New Roman"/>
          <w:sz w:val="24"/>
          <w:szCs w:val="24"/>
        </w:rPr>
        <w:t>ed the highest in autumn season (55.5%) and the lowest in winter (11.6%)</w:t>
      </w:r>
      <w:r w:rsidR="00FA42B0">
        <w:rPr>
          <w:rFonts w:ascii="Times New Roman" w:hAnsi="Times New Roman" w:cs="Times New Roman"/>
          <w:sz w:val="24"/>
          <w:szCs w:val="24"/>
        </w:rPr>
        <w:t>.</w:t>
      </w:r>
      <w:r w:rsidR="000E3A87"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30099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140D2"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30099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42B0" w:rsidRDefault="00924316" w:rsidP="00FA4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83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5465C6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5D0E83">
        <w:rPr>
          <w:rFonts w:ascii="Times New Roman" w:hAnsi="Times New Roman" w:cs="Times New Roman"/>
          <w:b/>
          <w:sz w:val="24"/>
          <w:szCs w:val="24"/>
        </w:rPr>
        <w:t xml:space="preserve">: Season specific prevalence of </w:t>
      </w:r>
      <w:proofErr w:type="spellStart"/>
      <w:r w:rsidRPr="005D0E83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</w:p>
    <w:p w:rsidR="00FA42B0" w:rsidRDefault="00FA42B0" w:rsidP="00FA4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C5" w:rsidRPr="00FA4E53" w:rsidRDefault="00AC1CC5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C5EB0" w:rsidRPr="00053DB2" w:rsidRDefault="000D7D6A" w:rsidP="00FB0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86CB7">
        <w:rPr>
          <w:rFonts w:ascii="Times New Roman" w:hAnsi="Times New Roman" w:cs="Times New Roman"/>
          <w:b/>
          <w:sz w:val="24"/>
          <w:szCs w:val="24"/>
        </w:rPr>
        <w:t xml:space="preserve"> 2. 4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5EB0" w:rsidRPr="00053DB2">
        <w:rPr>
          <w:rFonts w:ascii="Times New Roman" w:hAnsi="Times New Roman" w:cs="Times New Roman"/>
          <w:b/>
          <w:sz w:val="24"/>
          <w:szCs w:val="24"/>
        </w:rPr>
        <w:t xml:space="preserve">Relationship of </w:t>
      </w:r>
      <w:proofErr w:type="spellStart"/>
      <w:r w:rsidR="00CC5EB0" w:rsidRPr="00053DB2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CC5EB0" w:rsidRPr="0005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6F">
        <w:rPr>
          <w:rFonts w:ascii="Times New Roman" w:hAnsi="Times New Roman" w:cs="Times New Roman"/>
          <w:b/>
          <w:sz w:val="24"/>
          <w:szCs w:val="24"/>
        </w:rPr>
        <w:t>to the</w:t>
      </w:r>
      <w:r w:rsidR="00CC5EB0" w:rsidRPr="00053DB2">
        <w:rPr>
          <w:rFonts w:ascii="Times New Roman" w:hAnsi="Times New Roman" w:cs="Times New Roman"/>
          <w:b/>
          <w:sz w:val="24"/>
          <w:szCs w:val="24"/>
        </w:rPr>
        <w:t xml:space="preserve"> body temperature:</w:t>
      </w:r>
    </w:p>
    <w:p w:rsidR="00CC5EB0" w:rsidRPr="00053DB2" w:rsidRDefault="0083746F" w:rsidP="00FB0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5594" w:rsidRPr="00053DB2">
        <w:rPr>
          <w:rFonts w:ascii="Times New Roman" w:hAnsi="Times New Roman" w:cs="Times New Roman"/>
          <w:sz w:val="24"/>
          <w:szCs w:val="24"/>
        </w:rPr>
        <w:t>he study</w:t>
      </w:r>
      <w:r>
        <w:rPr>
          <w:rFonts w:ascii="Times New Roman" w:hAnsi="Times New Roman" w:cs="Times New Roman"/>
          <w:sz w:val="24"/>
          <w:szCs w:val="24"/>
        </w:rPr>
        <w:t xml:space="preserve"> revealed that</w:t>
      </w:r>
      <w:r w:rsidR="00FE029D">
        <w:rPr>
          <w:rFonts w:ascii="Times New Roman" w:hAnsi="Times New Roman" w:cs="Times New Roman"/>
          <w:sz w:val="24"/>
          <w:szCs w:val="24"/>
        </w:rPr>
        <w:t xml:space="preserve"> body temperature wa</w:t>
      </w:r>
      <w:r w:rsidR="00F85594" w:rsidRPr="00053DB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considerably </w:t>
      </w:r>
      <w:r w:rsidR="00F85594" w:rsidRPr="00053DB2">
        <w:rPr>
          <w:rFonts w:ascii="Times New Roman" w:hAnsi="Times New Roman" w:cs="Times New Roman"/>
          <w:sz w:val="24"/>
          <w:szCs w:val="24"/>
        </w:rPr>
        <w:t xml:space="preserve">increased in 62 % of </w:t>
      </w:r>
      <w:proofErr w:type="spellStart"/>
      <w:r w:rsidR="00F85594" w:rsidRPr="00053DB2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F85594" w:rsidRPr="00053DB2">
        <w:rPr>
          <w:rFonts w:ascii="Times New Roman" w:hAnsi="Times New Roman" w:cs="Times New Roman"/>
          <w:sz w:val="24"/>
          <w:szCs w:val="24"/>
        </w:rPr>
        <w:t xml:space="preserve"> cases</w:t>
      </w:r>
      <w:r w:rsidR="003448F7">
        <w:rPr>
          <w:rFonts w:ascii="Times New Roman" w:hAnsi="Times New Roman" w:cs="Times New Roman"/>
          <w:sz w:val="24"/>
          <w:szCs w:val="24"/>
        </w:rPr>
        <w:t xml:space="preserve"> with higher number of larvae</w:t>
      </w:r>
      <w:r w:rsidR="00F85594" w:rsidRPr="00053DB2">
        <w:rPr>
          <w:rFonts w:ascii="Times New Roman" w:hAnsi="Times New Roman" w:cs="Times New Roman"/>
          <w:sz w:val="24"/>
          <w:szCs w:val="24"/>
        </w:rPr>
        <w:t xml:space="preserve"> (&gt; 40 larvae = 48%) than normal condition (&gt; 40 larvae = 21%)</w:t>
      </w:r>
      <w:r w:rsidR="003448F7">
        <w:rPr>
          <w:rFonts w:ascii="Times New Roman" w:hAnsi="Times New Roman" w:cs="Times New Roman"/>
          <w:sz w:val="24"/>
          <w:szCs w:val="24"/>
        </w:rPr>
        <w:t xml:space="preserve"> </w:t>
      </w:r>
      <w:r w:rsidR="00546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5C6">
        <w:rPr>
          <w:rFonts w:ascii="Times New Roman" w:hAnsi="Times New Roman" w:cs="Times New Roman"/>
          <w:sz w:val="24"/>
          <w:szCs w:val="24"/>
        </w:rPr>
        <w:t>(Figure 17</w:t>
      </w:r>
      <w:r w:rsidR="003448F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4E6C" w:rsidRPr="00053DB2" w:rsidRDefault="00446FA0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790825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484E" w:rsidRDefault="005465C6" w:rsidP="003648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C6">
        <w:rPr>
          <w:rFonts w:ascii="Times New Roman" w:hAnsi="Times New Roman" w:cs="Times New Roman"/>
          <w:b/>
          <w:sz w:val="24"/>
          <w:szCs w:val="24"/>
        </w:rPr>
        <w:t>Fig 17</w:t>
      </w:r>
      <w:r w:rsidR="006F6DE0">
        <w:rPr>
          <w:rFonts w:ascii="Times New Roman" w:hAnsi="Times New Roman" w:cs="Times New Roman"/>
          <w:b/>
          <w:sz w:val="24"/>
          <w:szCs w:val="24"/>
        </w:rPr>
        <w:t xml:space="preserve">: Relationship of </w:t>
      </w:r>
      <w:proofErr w:type="spellStart"/>
      <w:r w:rsidR="006F6DE0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6F6DE0">
        <w:rPr>
          <w:rFonts w:ascii="Times New Roman" w:hAnsi="Times New Roman" w:cs="Times New Roman"/>
          <w:b/>
          <w:sz w:val="24"/>
          <w:szCs w:val="24"/>
        </w:rPr>
        <w:t xml:space="preserve"> to the</w:t>
      </w:r>
      <w:r w:rsidR="00234E6C" w:rsidRPr="005465C6">
        <w:rPr>
          <w:rFonts w:ascii="Times New Roman" w:hAnsi="Times New Roman" w:cs="Times New Roman"/>
          <w:b/>
          <w:sz w:val="24"/>
          <w:szCs w:val="24"/>
        </w:rPr>
        <w:t xml:space="preserve"> body temperature</w:t>
      </w:r>
    </w:p>
    <w:p w:rsidR="00CD41C2" w:rsidRDefault="00CD41C2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651" w:rsidRDefault="00C65651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C50" w:rsidRPr="00053DB2" w:rsidRDefault="000D7D6A" w:rsidP="00FB0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71467">
        <w:rPr>
          <w:rFonts w:ascii="Times New Roman" w:hAnsi="Times New Roman" w:cs="Times New Roman"/>
          <w:b/>
          <w:sz w:val="24"/>
          <w:szCs w:val="24"/>
        </w:rPr>
        <w:t xml:space="preserve"> 2. 5</w:t>
      </w:r>
      <w:r w:rsidR="005465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02" w:rsidRPr="00053DB2">
        <w:rPr>
          <w:rFonts w:ascii="Times New Roman" w:hAnsi="Times New Roman" w:cs="Times New Roman"/>
          <w:b/>
          <w:sz w:val="24"/>
          <w:szCs w:val="24"/>
        </w:rPr>
        <w:t>Preva</w:t>
      </w:r>
      <w:r w:rsidR="006A2889">
        <w:rPr>
          <w:rFonts w:ascii="Times New Roman" w:hAnsi="Times New Roman" w:cs="Times New Roman"/>
          <w:b/>
          <w:sz w:val="24"/>
          <w:szCs w:val="24"/>
        </w:rPr>
        <w:t xml:space="preserve">lence of </w:t>
      </w:r>
      <w:proofErr w:type="spellStart"/>
      <w:r w:rsidR="006A2889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6A2889">
        <w:rPr>
          <w:rFonts w:ascii="Times New Roman" w:hAnsi="Times New Roman" w:cs="Times New Roman"/>
          <w:b/>
          <w:sz w:val="24"/>
          <w:szCs w:val="24"/>
        </w:rPr>
        <w:t xml:space="preserve"> in accordance with</w:t>
      </w:r>
      <w:r w:rsidR="00374102" w:rsidRPr="00053DB2">
        <w:rPr>
          <w:rFonts w:ascii="Times New Roman" w:hAnsi="Times New Roman" w:cs="Times New Roman"/>
          <w:b/>
          <w:sz w:val="24"/>
          <w:szCs w:val="24"/>
        </w:rPr>
        <w:t xml:space="preserve"> posture and gait</w:t>
      </w:r>
    </w:p>
    <w:p w:rsidR="00741E53" w:rsidRPr="00053DB2" w:rsidRDefault="00741E53" w:rsidP="00FB0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sz w:val="24"/>
          <w:szCs w:val="24"/>
        </w:rPr>
        <w:t>According to the findings, the</w:t>
      </w:r>
      <w:r w:rsidR="003D12BC">
        <w:rPr>
          <w:rFonts w:ascii="Times New Roman" w:hAnsi="Times New Roman" w:cs="Times New Roman"/>
          <w:sz w:val="24"/>
          <w:szCs w:val="24"/>
        </w:rPr>
        <w:t xml:space="preserve"> infected animals showed independent relationship with abnormality in </w:t>
      </w:r>
      <w:r w:rsidRPr="00053DB2">
        <w:rPr>
          <w:rFonts w:ascii="Times New Roman" w:hAnsi="Times New Roman" w:cs="Times New Roman"/>
          <w:sz w:val="24"/>
          <w:szCs w:val="24"/>
        </w:rPr>
        <w:t xml:space="preserve">posture and gait. </w:t>
      </w:r>
      <w:r w:rsidR="003D12BC">
        <w:rPr>
          <w:rFonts w:ascii="Times New Roman" w:hAnsi="Times New Roman" w:cs="Times New Roman"/>
          <w:sz w:val="24"/>
          <w:szCs w:val="24"/>
        </w:rPr>
        <w:t>Whereas lameness w</w:t>
      </w:r>
      <w:r w:rsidR="00C21D82">
        <w:rPr>
          <w:rFonts w:ascii="Times New Roman" w:hAnsi="Times New Roman" w:cs="Times New Roman"/>
          <w:sz w:val="24"/>
          <w:szCs w:val="24"/>
        </w:rPr>
        <w:t>as</w:t>
      </w:r>
      <w:r w:rsidR="003D12BC">
        <w:rPr>
          <w:rFonts w:ascii="Times New Roman" w:hAnsi="Times New Roman" w:cs="Times New Roman"/>
          <w:sz w:val="24"/>
          <w:szCs w:val="24"/>
        </w:rPr>
        <w:t xml:space="preserve"> found</w:t>
      </w:r>
      <w:r w:rsidR="00B55A89">
        <w:rPr>
          <w:rFonts w:ascii="Times New Roman" w:hAnsi="Times New Roman" w:cs="Times New Roman"/>
          <w:sz w:val="24"/>
          <w:szCs w:val="24"/>
        </w:rPr>
        <w:t xml:space="preserve"> in 29.7% of animals having </w:t>
      </w:r>
      <w:proofErr w:type="spellStart"/>
      <w:r w:rsidR="00B55A89"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 w:rsidR="003D12BC">
        <w:rPr>
          <w:rFonts w:ascii="Times New Roman" w:hAnsi="Times New Roman" w:cs="Times New Roman"/>
          <w:sz w:val="24"/>
          <w:szCs w:val="24"/>
        </w:rPr>
        <w:t xml:space="preserve"> wound at </w:t>
      </w:r>
      <w:r w:rsidRPr="00053DB2">
        <w:rPr>
          <w:rFonts w:ascii="Times New Roman" w:hAnsi="Times New Roman" w:cs="Times New Roman"/>
          <w:sz w:val="24"/>
          <w:szCs w:val="24"/>
        </w:rPr>
        <w:t>inter-digital space or hoof</w:t>
      </w:r>
      <w:r w:rsidR="005465C6">
        <w:rPr>
          <w:rFonts w:ascii="Times New Roman" w:hAnsi="Times New Roman" w:cs="Times New Roman"/>
          <w:sz w:val="24"/>
          <w:szCs w:val="24"/>
        </w:rPr>
        <w:t xml:space="preserve"> (Figure 19</w:t>
      </w:r>
      <w:r w:rsidR="003D12BC">
        <w:rPr>
          <w:rFonts w:ascii="Times New Roman" w:hAnsi="Times New Roman" w:cs="Times New Roman"/>
          <w:sz w:val="24"/>
          <w:szCs w:val="24"/>
        </w:rPr>
        <w:t>).</w:t>
      </w:r>
    </w:p>
    <w:p w:rsidR="00C65651" w:rsidRDefault="00C65651" w:rsidP="00FB0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651" w:rsidRDefault="00C65651" w:rsidP="00FB0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127" w:rsidRPr="00053DB2" w:rsidRDefault="008F0127" w:rsidP="00FB0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27527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5651" w:rsidRDefault="00C65651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0FD" w:rsidRPr="0036484E" w:rsidRDefault="005465C6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4E">
        <w:rPr>
          <w:rFonts w:ascii="Times New Roman" w:hAnsi="Times New Roman" w:cs="Times New Roman"/>
          <w:b/>
          <w:sz w:val="24"/>
          <w:szCs w:val="24"/>
        </w:rPr>
        <w:t>Fig 19</w:t>
      </w:r>
      <w:r w:rsidR="005D40FD" w:rsidRPr="0036484E">
        <w:rPr>
          <w:rFonts w:ascii="Times New Roman" w:hAnsi="Times New Roman" w:cs="Times New Roman"/>
          <w:b/>
          <w:sz w:val="24"/>
          <w:szCs w:val="24"/>
        </w:rPr>
        <w:t>: Preval</w:t>
      </w:r>
      <w:r w:rsidR="005D4144" w:rsidRPr="0036484E">
        <w:rPr>
          <w:rFonts w:ascii="Times New Roman" w:hAnsi="Times New Roman" w:cs="Times New Roman"/>
          <w:b/>
          <w:sz w:val="24"/>
          <w:szCs w:val="24"/>
        </w:rPr>
        <w:t xml:space="preserve">ence of </w:t>
      </w:r>
      <w:proofErr w:type="spellStart"/>
      <w:r w:rsidR="005D4144" w:rsidRPr="0036484E">
        <w:rPr>
          <w:rFonts w:ascii="Times New Roman" w:hAnsi="Times New Roman" w:cs="Times New Roman"/>
          <w:b/>
          <w:sz w:val="24"/>
          <w:szCs w:val="24"/>
        </w:rPr>
        <w:t>myiasis</w:t>
      </w:r>
      <w:proofErr w:type="spellEnd"/>
      <w:r w:rsidR="005D4144" w:rsidRPr="0036484E">
        <w:rPr>
          <w:rFonts w:ascii="Times New Roman" w:hAnsi="Times New Roman" w:cs="Times New Roman"/>
          <w:b/>
          <w:sz w:val="24"/>
          <w:szCs w:val="24"/>
        </w:rPr>
        <w:t xml:space="preserve"> in accordance with</w:t>
      </w:r>
      <w:r w:rsidR="005D40FD" w:rsidRPr="0036484E">
        <w:rPr>
          <w:rFonts w:ascii="Times New Roman" w:hAnsi="Times New Roman" w:cs="Times New Roman"/>
          <w:b/>
          <w:sz w:val="24"/>
          <w:szCs w:val="24"/>
        </w:rPr>
        <w:t xml:space="preserve"> posture and gait</w:t>
      </w:r>
    </w:p>
    <w:p w:rsidR="00ED3F9A" w:rsidRPr="00053DB2" w:rsidRDefault="00ED3F9A" w:rsidP="00FB0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F9A" w:rsidRPr="00053DB2" w:rsidSect="00F12FEB">
      <w:footerReference w:type="default" r:id="rId17"/>
      <w:pgSz w:w="12240" w:h="15840"/>
      <w:pgMar w:top="1440" w:right="1440" w:bottom="1440" w:left="2160" w:header="720" w:footer="432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1F" w:rsidRDefault="0003251F" w:rsidP="004E3D90">
      <w:pPr>
        <w:spacing w:after="0" w:line="240" w:lineRule="auto"/>
      </w:pPr>
      <w:r>
        <w:separator/>
      </w:r>
    </w:p>
  </w:endnote>
  <w:endnote w:type="continuationSeparator" w:id="0">
    <w:p w:rsidR="0003251F" w:rsidRDefault="0003251F" w:rsidP="004E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76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12398" w:rsidRDefault="009123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51" w:rsidRPr="00C65651">
          <w:rPr>
            <w:b/>
            <w:bCs/>
            <w:noProof/>
          </w:rPr>
          <w:t>30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12398">
          <w:rPr>
            <w:color w:val="808080" w:themeColor="background1" w:themeShade="80"/>
            <w:spacing w:val="60"/>
          </w:rPr>
          <w:t>Page</w:t>
        </w:r>
      </w:p>
    </w:sdtContent>
  </w:sdt>
  <w:p w:rsidR="00F12FEB" w:rsidRDefault="00F12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1F" w:rsidRDefault="0003251F" w:rsidP="004E3D90">
      <w:pPr>
        <w:spacing w:after="0" w:line="240" w:lineRule="auto"/>
      </w:pPr>
      <w:r>
        <w:separator/>
      </w:r>
    </w:p>
  </w:footnote>
  <w:footnote w:type="continuationSeparator" w:id="0">
    <w:p w:rsidR="0003251F" w:rsidRDefault="0003251F" w:rsidP="004E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7C0"/>
    <w:multiLevelType w:val="hybridMultilevel"/>
    <w:tmpl w:val="243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2C43"/>
    <w:multiLevelType w:val="hybridMultilevel"/>
    <w:tmpl w:val="78A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A3"/>
    <w:rsid w:val="00002B45"/>
    <w:rsid w:val="00004229"/>
    <w:rsid w:val="00010B0A"/>
    <w:rsid w:val="000216E1"/>
    <w:rsid w:val="000254A2"/>
    <w:rsid w:val="000270ED"/>
    <w:rsid w:val="0003251F"/>
    <w:rsid w:val="000360B6"/>
    <w:rsid w:val="000362F5"/>
    <w:rsid w:val="00037AE7"/>
    <w:rsid w:val="000420EB"/>
    <w:rsid w:val="000447DC"/>
    <w:rsid w:val="00053DB2"/>
    <w:rsid w:val="00054F9F"/>
    <w:rsid w:val="000623A2"/>
    <w:rsid w:val="000B05A6"/>
    <w:rsid w:val="000B1C90"/>
    <w:rsid w:val="000B3E66"/>
    <w:rsid w:val="000B5292"/>
    <w:rsid w:val="000C1010"/>
    <w:rsid w:val="000C6A7E"/>
    <w:rsid w:val="000D7D6A"/>
    <w:rsid w:val="000E2BCB"/>
    <w:rsid w:val="000E3A87"/>
    <w:rsid w:val="000F2B29"/>
    <w:rsid w:val="00110781"/>
    <w:rsid w:val="00110C8A"/>
    <w:rsid w:val="0011361F"/>
    <w:rsid w:val="001469D8"/>
    <w:rsid w:val="00150BF6"/>
    <w:rsid w:val="00154F08"/>
    <w:rsid w:val="00160DAA"/>
    <w:rsid w:val="0016153D"/>
    <w:rsid w:val="00167D29"/>
    <w:rsid w:val="001800A1"/>
    <w:rsid w:val="00186CB7"/>
    <w:rsid w:val="001A4C50"/>
    <w:rsid w:val="001C2994"/>
    <w:rsid w:val="001D4B38"/>
    <w:rsid w:val="001E1C4F"/>
    <w:rsid w:val="001E497C"/>
    <w:rsid w:val="001F10E1"/>
    <w:rsid w:val="001F2F55"/>
    <w:rsid w:val="00215328"/>
    <w:rsid w:val="00217717"/>
    <w:rsid w:val="002319A4"/>
    <w:rsid w:val="00234E6C"/>
    <w:rsid w:val="002456BE"/>
    <w:rsid w:val="00245BA2"/>
    <w:rsid w:val="00247198"/>
    <w:rsid w:val="00254912"/>
    <w:rsid w:val="0027794E"/>
    <w:rsid w:val="00282BBA"/>
    <w:rsid w:val="002863BE"/>
    <w:rsid w:val="00291F98"/>
    <w:rsid w:val="00297898"/>
    <w:rsid w:val="002A47BB"/>
    <w:rsid w:val="002B171F"/>
    <w:rsid w:val="002B24C8"/>
    <w:rsid w:val="002B4FF2"/>
    <w:rsid w:val="002C45D0"/>
    <w:rsid w:val="002C4989"/>
    <w:rsid w:val="002E64CB"/>
    <w:rsid w:val="00307038"/>
    <w:rsid w:val="0031376A"/>
    <w:rsid w:val="00315395"/>
    <w:rsid w:val="00325BD3"/>
    <w:rsid w:val="00331A90"/>
    <w:rsid w:val="003448F7"/>
    <w:rsid w:val="00345379"/>
    <w:rsid w:val="00355763"/>
    <w:rsid w:val="0036027E"/>
    <w:rsid w:val="0036484E"/>
    <w:rsid w:val="00365710"/>
    <w:rsid w:val="00367749"/>
    <w:rsid w:val="00374102"/>
    <w:rsid w:val="00381096"/>
    <w:rsid w:val="003925FC"/>
    <w:rsid w:val="003A0BD1"/>
    <w:rsid w:val="003A1C54"/>
    <w:rsid w:val="003A76D0"/>
    <w:rsid w:val="003B3B28"/>
    <w:rsid w:val="003D12BC"/>
    <w:rsid w:val="003F5122"/>
    <w:rsid w:val="00446FA0"/>
    <w:rsid w:val="0047266C"/>
    <w:rsid w:val="00476C79"/>
    <w:rsid w:val="00483F8E"/>
    <w:rsid w:val="00494B5A"/>
    <w:rsid w:val="004A24EE"/>
    <w:rsid w:val="004B5C6C"/>
    <w:rsid w:val="004B6407"/>
    <w:rsid w:val="004C3527"/>
    <w:rsid w:val="004E1738"/>
    <w:rsid w:val="004E28C7"/>
    <w:rsid w:val="004E3D90"/>
    <w:rsid w:val="00502CB4"/>
    <w:rsid w:val="005049BC"/>
    <w:rsid w:val="00521DA8"/>
    <w:rsid w:val="00525E17"/>
    <w:rsid w:val="0054223E"/>
    <w:rsid w:val="005423D4"/>
    <w:rsid w:val="005465C6"/>
    <w:rsid w:val="00575E1A"/>
    <w:rsid w:val="005863FD"/>
    <w:rsid w:val="005976A2"/>
    <w:rsid w:val="005A235D"/>
    <w:rsid w:val="005A436E"/>
    <w:rsid w:val="005A7973"/>
    <w:rsid w:val="005C5B3C"/>
    <w:rsid w:val="005C7BAB"/>
    <w:rsid w:val="005D0369"/>
    <w:rsid w:val="005D0C18"/>
    <w:rsid w:val="005D0E83"/>
    <w:rsid w:val="005D40FD"/>
    <w:rsid w:val="005D4144"/>
    <w:rsid w:val="005D52CB"/>
    <w:rsid w:val="005D6096"/>
    <w:rsid w:val="005D6CEC"/>
    <w:rsid w:val="005E2F35"/>
    <w:rsid w:val="005E4830"/>
    <w:rsid w:val="005F1D9C"/>
    <w:rsid w:val="005F3241"/>
    <w:rsid w:val="005F60AC"/>
    <w:rsid w:val="00606305"/>
    <w:rsid w:val="006126F8"/>
    <w:rsid w:val="0063108A"/>
    <w:rsid w:val="00633992"/>
    <w:rsid w:val="00637C10"/>
    <w:rsid w:val="00654AB2"/>
    <w:rsid w:val="00657D88"/>
    <w:rsid w:val="006605E1"/>
    <w:rsid w:val="006675A1"/>
    <w:rsid w:val="0067270E"/>
    <w:rsid w:val="00677C6C"/>
    <w:rsid w:val="006958B7"/>
    <w:rsid w:val="00697A2D"/>
    <w:rsid w:val="006A2889"/>
    <w:rsid w:val="006A78EB"/>
    <w:rsid w:val="006C4382"/>
    <w:rsid w:val="006D617C"/>
    <w:rsid w:val="006E3DFB"/>
    <w:rsid w:val="006E4CBB"/>
    <w:rsid w:val="006E6C08"/>
    <w:rsid w:val="006F6DE0"/>
    <w:rsid w:val="007005F7"/>
    <w:rsid w:val="00706F30"/>
    <w:rsid w:val="00730CD5"/>
    <w:rsid w:val="0073739B"/>
    <w:rsid w:val="00741E53"/>
    <w:rsid w:val="00771467"/>
    <w:rsid w:val="00775534"/>
    <w:rsid w:val="007A1B6A"/>
    <w:rsid w:val="007B38FE"/>
    <w:rsid w:val="007B748D"/>
    <w:rsid w:val="007E32BA"/>
    <w:rsid w:val="008231CC"/>
    <w:rsid w:val="00825AFA"/>
    <w:rsid w:val="0083746F"/>
    <w:rsid w:val="0084749E"/>
    <w:rsid w:val="00873EEC"/>
    <w:rsid w:val="00874096"/>
    <w:rsid w:val="00874FB7"/>
    <w:rsid w:val="00881305"/>
    <w:rsid w:val="00891CF6"/>
    <w:rsid w:val="008A07F4"/>
    <w:rsid w:val="008A5BDC"/>
    <w:rsid w:val="008A63BA"/>
    <w:rsid w:val="008B1D61"/>
    <w:rsid w:val="008C5E9B"/>
    <w:rsid w:val="008C7D20"/>
    <w:rsid w:val="008D034C"/>
    <w:rsid w:val="008D5D04"/>
    <w:rsid w:val="008D6218"/>
    <w:rsid w:val="008E5C54"/>
    <w:rsid w:val="008F0127"/>
    <w:rsid w:val="009002F9"/>
    <w:rsid w:val="00912398"/>
    <w:rsid w:val="00913A59"/>
    <w:rsid w:val="00924316"/>
    <w:rsid w:val="009251D9"/>
    <w:rsid w:val="00933332"/>
    <w:rsid w:val="00936542"/>
    <w:rsid w:val="00937C19"/>
    <w:rsid w:val="009537C8"/>
    <w:rsid w:val="00956492"/>
    <w:rsid w:val="00961AB4"/>
    <w:rsid w:val="009654CD"/>
    <w:rsid w:val="00990B4E"/>
    <w:rsid w:val="00992F3F"/>
    <w:rsid w:val="009C1665"/>
    <w:rsid w:val="009D20BA"/>
    <w:rsid w:val="009D494D"/>
    <w:rsid w:val="009E0FFB"/>
    <w:rsid w:val="009E4C87"/>
    <w:rsid w:val="009F2017"/>
    <w:rsid w:val="00A01E84"/>
    <w:rsid w:val="00A140D2"/>
    <w:rsid w:val="00A16302"/>
    <w:rsid w:val="00A257EC"/>
    <w:rsid w:val="00A25B17"/>
    <w:rsid w:val="00A34EFB"/>
    <w:rsid w:val="00A8699D"/>
    <w:rsid w:val="00AA00E0"/>
    <w:rsid w:val="00AA3375"/>
    <w:rsid w:val="00AC1CC5"/>
    <w:rsid w:val="00AD1DEC"/>
    <w:rsid w:val="00AD278A"/>
    <w:rsid w:val="00AE4749"/>
    <w:rsid w:val="00AF04C9"/>
    <w:rsid w:val="00AF4F64"/>
    <w:rsid w:val="00B13F2E"/>
    <w:rsid w:val="00B17B7A"/>
    <w:rsid w:val="00B30663"/>
    <w:rsid w:val="00B30F2D"/>
    <w:rsid w:val="00B3385D"/>
    <w:rsid w:val="00B42E96"/>
    <w:rsid w:val="00B43CC0"/>
    <w:rsid w:val="00B55A89"/>
    <w:rsid w:val="00B6650D"/>
    <w:rsid w:val="00B66F36"/>
    <w:rsid w:val="00B76432"/>
    <w:rsid w:val="00B767FF"/>
    <w:rsid w:val="00B8766B"/>
    <w:rsid w:val="00BA4D2F"/>
    <w:rsid w:val="00BA7D61"/>
    <w:rsid w:val="00BC2F83"/>
    <w:rsid w:val="00BC3A88"/>
    <w:rsid w:val="00BD319E"/>
    <w:rsid w:val="00C06C7D"/>
    <w:rsid w:val="00C14F81"/>
    <w:rsid w:val="00C15246"/>
    <w:rsid w:val="00C16506"/>
    <w:rsid w:val="00C21840"/>
    <w:rsid w:val="00C21D82"/>
    <w:rsid w:val="00C23777"/>
    <w:rsid w:val="00C34808"/>
    <w:rsid w:val="00C4528D"/>
    <w:rsid w:val="00C60161"/>
    <w:rsid w:val="00C65651"/>
    <w:rsid w:val="00C776F7"/>
    <w:rsid w:val="00C86025"/>
    <w:rsid w:val="00CA09E4"/>
    <w:rsid w:val="00CB7C76"/>
    <w:rsid w:val="00CC12E4"/>
    <w:rsid w:val="00CC2E7D"/>
    <w:rsid w:val="00CC3B02"/>
    <w:rsid w:val="00CC5EB0"/>
    <w:rsid w:val="00CD08B4"/>
    <w:rsid w:val="00CD41C2"/>
    <w:rsid w:val="00CE0CDA"/>
    <w:rsid w:val="00CE42DE"/>
    <w:rsid w:val="00CF662E"/>
    <w:rsid w:val="00D375A9"/>
    <w:rsid w:val="00D421C5"/>
    <w:rsid w:val="00D45DDF"/>
    <w:rsid w:val="00D65199"/>
    <w:rsid w:val="00D778AA"/>
    <w:rsid w:val="00D80B18"/>
    <w:rsid w:val="00D8365E"/>
    <w:rsid w:val="00DB77C0"/>
    <w:rsid w:val="00DC33F6"/>
    <w:rsid w:val="00DD3141"/>
    <w:rsid w:val="00DD3DB8"/>
    <w:rsid w:val="00DD4B41"/>
    <w:rsid w:val="00DE66E4"/>
    <w:rsid w:val="00DF2761"/>
    <w:rsid w:val="00E248A3"/>
    <w:rsid w:val="00E33E1E"/>
    <w:rsid w:val="00E35B94"/>
    <w:rsid w:val="00E427B9"/>
    <w:rsid w:val="00E45214"/>
    <w:rsid w:val="00E50B9F"/>
    <w:rsid w:val="00E54A76"/>
    <w:rsid w:val="00E55113"/>
    <w:rsid w:val="00E55C87"/>
    <w:rsid w:val="00E71EA1"/>
    <w:rsid w:val="00E81EBD"/>
    <w:rsid w:val="00E83953"/>
    <w:rsid w:val="00E973A4"/>
    <w:rsid w:val="00EA77E2"/>
    <w:rsid w:val="00EC2820"/>
    <w:rsid w:val="00ED3F9A"/>
    <w:rsid w:val="00EE0078"/>
    <w:rsid w:val="00EF4A2B"/>
    <w:rsid w:val="00EF5713"/>
    <w:rsid w:val="00F12FEB"/>
    <w:rsid w:val="00F164FE"/>
    <w:rsid w:val="00F1782A"/>
    <w:rsid w:val="00F31577"/>
    <w:rsid w:val="00F4172E"/>
    <w:rsid w:val="00F629CD"/>
    <w:rsid w:val="00F678CA"/>
    <w:rsid w:val="00F85594"/>
    <w:rsid w:val="00F86FD6"/>
    <w:rsid w:val="00FA42B0"/>
    <w:rsid w:val="00FA4E53"/>
    <w:rsid w:val="00FB0B94"/>
    <w:rsid w:val="00FC2724"/>
    <w:rsid w:val="00FD5825"/>
    <w:rsid w:val="00FE029D"/>
    <w:rsid w:val="00FE0976"/>
    <w:rsid w:val="00FF2998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53D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90"/>
  </w:style>
  <w:style w:type="paragraph" w:styleId="Footer">
    <w:name w:val="footer"/>
    <w:basedOn w:val="Normal"/>
    <w:link w:val="FooterChar"/>
    <w:uiPriority w:val="99"/>
    <w:unhideWhenUsed/>
    <w:rsid w:val="004E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90"/>
  </w:style>
  <w:style w:type="character" w:styleId="CommentReference">
    <w:name w:val="annotation reference"/>
    <w:basedOn w:val="DefaultParagraphFont"/>
    <w:uiPriority w:val="99"/>
    <w:semiHidden/>
    <w:unhideWhenUsed/>
    <w:rsid w:val="0003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E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E7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A76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76D0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CC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21">
    <w:name w:val="Medium Grid 21"/>
    <w:basedOn w:val="TableNormal"/>
    <w:uiPriority w:val="68"/>
    <w:rsid w:val="00CC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1">
    <w:name w:val="Medium Grid 11"/>
    <w:basedOn w:val="TableNormal"/>
    <w:uiPriority w:val="67"/>
    <w:rsid w:val="00CC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1">
    <w:name w:val="Light Grid1"/>
    <w:basedOn w:val="TableNormal"/>
    <w:uiPriority w:val="62"/>
    <w:rsid w:val="00CC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21">
    <w:name w:val="Medium List 21"/>
    <w:basedOn w:val="TableNormal"/>
    <w:uiPriority w:val="66"/>
    <w:rsid w:val="00CC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CC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5B17"/>
    <w:rPr>
      <w:color w:val="808080"/>
    </w:rPr>
  </w:style>
  <w:style w:type="paragraph" w:styleId="ListParagraph">
    <w:name w:val="List Paragraph"/>
    <w:basedOn w:val="Normal"/>
    <w:uiPriority w:val="34"/>
    <w:qFormat/>
    <w:rsid w:val="00A25B17"/>
    <w:pPr>
      <w:ind w:left="720"/>
      <w:contextualSpacing/>
    </w:pPr>
  </w:style>
  <w:style w:type="table" w:styleId="LightShading">
    <w:name w:val="Light Shading"/>
    <w:basedOn w:val="TableNormal"/>
    <w:uiPriority w:val="60"/>
    <w:rsid w:val="00CB7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16214119077723"/>
          <c:y val="6.2386952905155821E-2"/>
          <c:w val="0.84456688486303699"/>
          <c:h val="0.6916712386952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cat>
            <c:strRef>
              <c:f>Sheet1!$A$2:$A$5</c:f>
              <c:strCache>
                <c:ptCount val="3"/>
                <c:pt idx="0">
                  <c:v>CMA</c:v>
                </c:pt>
                <c:pt idx="1">
                  <c:v>Tamilnadu, India</c:v>
                </c:pt>
                <c:pt idx="2">
                  <c:v>Rangunia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152</c:v>
                </c:pt>
                <c:pt idx="1">
                  <c:v>5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CMA</c:v>
                </c:pt>
                <c:pt idx="1">
                  <c:v>Tamilnadu, India</c:v>
                </c:pt>
                <c:pt idx="2">
                  <c:v>Rangunia</c:v>
                </c:pt>
              </c:strCache>
            </c:strRef>
          </c:cat>
          <c:val>
            <c:numRef>
              <c:f>Sheet1!$C$2:$C$5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CMA</c:v>
                </c:pt>
                <c:pt idx="1">
                  <c:v>Tamilnadu, India</c:v>
                </c:pt>
                <c:pt idx="2">
                  <c:v>Rangunia</c:v>
                </c:pt>
              </c:strCache>
            </c:strRef>
          </c:cat>
          <c:val>
            <c:numRef>
              <c:f>Sheet1!$D$2:$D$5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0851328"/>
        <c:axId val="173081344"/>
      </c:barChart>
      <c:catAx>
        <c:axId val="1708513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081344"/>
        <c:crosses val="autoZero"/>
        <c:auto val="1"/>
        <c:lblAlgn val="ctr"/>
        <c:lblOffset val="100"/>
        <c:noMultiLvlLbl val="0"/>
      </c:catAx>
      <c:valAx>
        <c:axId val="17308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851328"/>
        <c:crosses val="autoZero"/>
        <c:crossBetween val="between"/>
      </c:valAx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698909174090796E-2"/>
          <c:y val="4.4373566810913478E-2"/>
          <c:w val="0.71529967180233445"/>
          <c:h val="0.89112371684671632"/>
        </c:manualLayout>
      </c:layout>
      <c:pieChart>
        <c:varyColors val="1"/>
        <c:ser>
          <c:idx val="0"/>
          <c:order val="0"/>
          <c:explosion val="9"/>
          <c:dPt>
            <c:idx val="5"/>
            <c:bubble3D val="0"/>
            <c:explosion val="10"/>
          </c:dPt>
          <c:dLbls>
            <c:dLbl>
              <c:idx val="0"/>
              <c:layout>
                <c:manualLayout>
                  <c:x val="1.4650133542691322E-2"/>
                  <c:y val="2.5864139863872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964255201237673E-2"/>
                  <c:y val="0.101488500378130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972945097405415E-2"/>
                  <c:y val="5.36621735842341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7589843058473996E-2"/>
                  <c:y val="2.2598870056497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Sheet1!$A$4:$A$9</c:f>
              <c:strCache>
                <c:ptCount val="6"/>
                <c:pt idx="0">
                  <c:v>Cattle</c:v>
                </c:pt>
                <c:pt idx="1">
                  <c:v>Dog</c:v>
                </c:pt>
                <c:pt idx="2">
                  <c:v>Goat</c:v>
                </c:pt>
                <c:pt idx="3">
                  <c:v>Monkey</c:v>
                </c:pt>
                <c:pt idx="4">
                  <c:v>Rabbit</c:v>
                </c:pt>
                <c:pt idx="5">
                  <c:v>Sheep</c:v>
                </c:pt>
              </c:strCache>
            </c:strRef>
          </c:cat>
          <c:val>
            <c:numRef>
              <c:f>Sheet1!$B$4:$B$9</c:f>
              <c:numCache>
                <c:formatCode>General</c:formatCode>
                <c:ptCount val="6"/>
                <c:pt idx="0">
                  <c:v>47</c:v>
                </c:pt>
                <c:pt idx="1">
                  <c:v>20</c:v>
                </c:pt>
                <c:pt idx="2">
                  <c:v>105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9028337177060226"/>
          <c:y val="0.22268654049034639"/>
          <c:w val="0.20561334967752212"/>
          <c:h val="0.554626516508774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Book Antiqua" pitchFamily="18" charset="0"/>
              </a:rPr>
              <a:t>Breed, age, sex and BCS wise prevalence</a:t>
            </a:r>
          </a:p>
        </c:rich>
      </c:tx>
      <c:layout>
        <c:manualLayout>
          <c:xMode val="edge"/>
          <c:yMode val="edge"/>
          <c:x val="0.2583542538354253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12980821217567"/>
          <c:y val="3.7150149334781425E-2"/>
          <c:w val="0.8746396593091349"/>
          <c:h val="0.6645131082752585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Breed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BB</c:v>
                </c:pt>
                <c:pt idx="1">
                  <c:v>Cross</c:v>
                </c:pt>
                <c:pt idx="2">
                  <c:v>JP</c:v>
                </c:pt>
                <c:pt idx="3">
                  <c:v>Local</c:v>
                </c:pt>
                <c:pt idx="4">
                  <c:v>≤ 6m</c:v>
                </c:pt>
                <c:pt idx="5">
                  <c:v>&gt; 6m</c:v>
                </c:pt>
                <c:pt idx="6">
                  <c:v>Female</c:v>
                </c:pt>
                <c:pt idx="7">
                  <c:v>Male</c:v>
                </c:pt>
                <c:pt idx="8">
                  <c:v>Cachectic</c:v>
                </c:pt>
                <c:pt idx="9">
                  <c:v>Poor</c:v>
                </c:pt>
                <c:pt idx="10">
                  <c:v>Fair</c:v>
                </c:pt>
                <c:pt idx="11">
                  <c:v>Good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4.8</c:v>
                </c:pt>
                <c:pt idx="1">
                  <c:v>35.5</c:v>
                </c:pt>
                <c:pt idx="2">
                  <c:v>26.2</c:v>
                </c:pt>
                <c:pt idx="3">
                  <c:v>33.5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BB</c:v>
                </c:pt>
                <c:pt idx="1">
                  <c:v>Cross</c:v>
                </c:pt>
                <c:pt idx="2">
                  <c:v>JP</c:v>
                </c:pt>
                <c:pt idx="3">
                  <c:v>Local</c:v>
                </c:pt>
                <c:pt idx="4">
                  <c:v>≤ 6m</c:v>
                </c:pt>
                <c:pt idx="5">
                  <c:v>&gt; 6m</c:v>
                </c:pt>
                <c:pt idx="6">
                  <c:v>Female</c:v>
                </c:pt>
                <c:pt idx="7">
                  <c:v>Male</c:v>
                </c:pt>
                <c:pt idx="8">
                  <c:v>Cachectic</c:v>
                </c:pt>
                <c:pt idx="9">
                  <c:v>Poor</c:v>
                </c:pt>
                <c:pt idx="10">
                  <c:v>Fair</c:v>
                </c:pt>
                <c:pt idx="11">
                  <c:v>Good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4">
                  <c:v>35.200000000000003</c:v>
                </c:pt>
                <c:pt idx="5">
                  <c:v>69.8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Sex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BB</c:v>
                </c:pt>
                <c:pt idx="1">
                  <c:v>Cross</c:v>
                </c:pt>
                <c:pt idx="2">
                  <c:v>JP</c:v>
                </c:pt>
                <c:pt idx="3">
                  <c:v>Local</c:v>
                </c:pt>
                <c:pt idx="4">
                  <c:v>≤ 6m</c:v>
                </c:pt>
                <c:pt idx="5">
                  <c:v>&gt; 6m</c:v>
                </c:pt>
                <c:pt idx="6">
                  <c:v>Female</c:v>
                </c:pt>
                <c:pt idx="7">
                  <c:v>Male</c:v>
                </c:pt>
                <c:pt idx="8">
                  <c:v>Cachectic</c:v>
                </c:pt>
                <c:pt idx="9">
                  <c:v>Poor</c:v>
                </c:pt>
                <c:pt idx="10">
                  <c:v>Fair</c:v>
                </c:pt>
                <c:pt idx="11">
                  <c:v>Good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6">
                  <c:v>62.5</c:v>
                </c:pt>
                <c:pt idx="7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BCS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BB</c:v>
                </c:pt>
                <c:pt idx="1">
                  <c:v>Cross</c:v>
                </c:pt>
                <c:pt idx="2">
                  <c:v>JP</c:v>
                </c:pt>
                <c:pt idx="3">
                  <c:v>Local</c:v>
                </c:pt>
                <c:pt idx="4">
                  <c:v>≤ 6m</c:v>
                </c:pt>
                <c:pt idx="5">
                  <c:v>&gt; 6m</c:v>
                </c:pt>
                <c:pt idx="6">
                  <c:v>Female</c:v>
                </c:pt>
                <c:pt idx="7">
                  <c:v>Male</c:v>
                </c:pt>
                <c:pt idx="8">
                  <c:v>Cachectic</c:v>
                </c:pt>
                <c:pt idx="9">
                  <c:v>Poor</c:v>
                </c:pt>
                <c:pt idx="10">
                  <c:v>Fair</c:v>
                </c:pt>
                <c:pt idx="11">
                  <c:v>Good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8">
                  <c:v>5.5</c:v>
                </c:pt>
                <c:pt idx="9">
                  <c:v>25.2</c:v>
                </c:pt>
                <c:pt idx="10">
                  <c:v>40.299999999999997</c:v>
                </c:pt>
                <c:pt idx="1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83371264"/>
        <c:axId val="183372800"/>
        <c:axId val="0"/>
      </c:bar3DChart>
      <c:catAx>
        <c:axId val="18337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372800"/>
        <c:crosses val="autoZero"/>
        <c:auto val="1"/>
        <c:lblAlgn val="ctr"/>
        <c:lblOffset val="100"/>
        <c:noMultiLvlLbl val="0"/>
      </c:catAx>
      <c:valAx>
        <c:axId val="183372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Prevalence</a:t>
                </a:r>
                <a:r>
                  <a:rPr lang="en-US" baseline="0"/>
                  <a:t> %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3371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>
                <a:latin typeface="Book Antiqua" pitchFamily="18" charset="0"/>
              </a:rPr>
              <a:t>Comparison</a:t>
            </a:r>
            <a:r>
              <a:rPr lang="en-US" sz="1100" baseline="0">
                <a:latin typeface="Book Antiqua" pitchFamily="18" charset="0"/>
              </a:rPr>
              <a:t> of myiasis in different breeds of goat</a:t>
            </a:r>
            <a:endParaRPr lang="en-US" sz="1100">
              <a:latin typeface="Book Antiqua" pitchFamily="18" charset="0"/>
            </a:endParaRPr>
          </a:p>
        </c:rich>
      </c:tx>
      <c:layout>
        <c:manualLayout>
          <c:xMode val="edge"/>
          <c:yMode val="edge"/>
          <c:x val="0.14665104498699191"/>
          <c:y val="1.09589041095890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80431522206544"/>
          <c:y val="0.14530567755456608"/>
          <c:w val="0.78892627481146149"/>
          <c:h val="0.63787126987019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BB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Cross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</c:v>
                </c:pt>
                <c:pt idx="1">
                  <c:v>32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JP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</c:v>
                </c:pt>
                <c:pt idx="1">
                  <c:v>61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Local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18</c:v>
                </c:pt>
                <c:pt idx="1">
                  <c:v>37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962240"/>
        <c:axId val="183964416"/>
      </c:barChart>
      <c:catAx>
        <c:axId val="183962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larvae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83568517488423"/>
              <c:y val="0.88369429899449681"/>
            </c:manualLayout>
          </c:layout>
          <c:overlay val="0"/>
        </c:title>
        <c:majorTickMark val="none"/>
        <c:minorTickMark val="none"/>
        <c:tickLblPos val="nextTo"/>
        <c:crossAx val="183964416"/>
        <c:crosses val="autoZero"/>
        <c:auto val="1"/>
        <c:lblAlgn val="ctr"/>
        <c:lblOffset val="100"/>
        <c:noMultiLvlLbl val="0"/>
      </c:catAx>
      <c:valAx>
        <c:axId val="183964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Percentages</a:t>
                </a:r>
                <a:r>
                  <a:rPr lang="en-US" baseline="0"/>
                  <a:t> of larvae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96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946288490761624"/>
          <c:y val="0.92143883050999664"/>
          <c:w val="0.78311604274345659"/>
          <c:h val="7.429725711488470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4922118380062332E-2"/>
                  <c:y val="-4.371584699453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691588785046741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91588785046741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22118380062312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Summer</c:v>
                </c:pt>
                <c:pt idx="1">
                  <c:v>Rainy</c:v>
                </c:pt>
                <c:pt idx="2">
                  <c:v>Autumn</c:v>
                </c:pt>
                <c:pt idx="3">
                  <c:v>Winter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86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4009472"/>
        <c:axId val="184013568"/>
        <c:axId val="0"/>
      </c:bar3DChart>
      <c:catAx>
        <c:axId val="184009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013568"/>
        <c:crosses val="autoZero"/>
        <c:auto val="1"/>
        <c:lblAlgn val="ctr"/>
        <c:lblOffset val="100"/>
        <c:noMultiLvlLbl val="0"/>
      </c:catAx>
      <c:valAx>
        <c:axId val="18401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4009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078126916378451E-2"/>
          <c:y val="0.77350460885222116"/>
          <c:w val="0.9"/>
          <c:h val="0.194857792946530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>
                <a:latin typeface="Book Antiqua" pitchFamily="18" charset="0"/>
              </a:rPr>
              <a:t>Prevalence of myiasis according to season</a:t>
            </a:r>
            <a:endParaRPr lang="en-US" sz="1100">
              <a:latin typeface="Book Antiqua" pitchFamily="18" charset="0"/>
            </a:endParaRPr>
          </a:p>
        </c:rich>
      </c:tx>
      <c:layout>
        <c:manualLayout>
          <c:xMode val="edge"/>
          <c:yMode val="edge"/>
          <c:x val="0.13755057133009888"/>
          <c:y val="2.11640211640211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03658633579895"/>
          <c:y val="0.12731241928092321"/>
          <c:w val="0.81853416050266037"/>
          <c:h val="0.70893771611882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Summer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36.5</c:v>
                </c:pt>
                <c:pt idx="2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Rainy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28.5</c:v>
                </c:pt>
                <c:pt idx="1">
                  <c:v>47.5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Autumn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15</c:v>
                </c:pt>
                <c:pt idx="1">
                  <c:v>43</c:v>
                </c:pt>
                <c:pt idx="2">
                  <c:v>42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Winter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28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40064"/>
        <c:axId val="184074624"/>
      </c:barChart>
      <c:catAx>
        <c:axId val="18404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074624"/>
        <c:crosses val="autoZero"/>
        <c:auto val="1"/>
        <c:lblAlgn val="ctr"/>
        <c:lblOffset val="100"/>
        <c:noMultiLvlLbl val="0"/>
      </c:catAx>
      <c:valAx>
        <c:axId val="1840746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Percentages</a:t>
                </a:r>
                <a:r>
                  <a:rPr lang="en-US" baseline="0"/>
                  <a:t> of larvae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04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25689970571863"/>
          <c:y val="0.91238761821438985"/>
          <c:w val="0.81545030356053982"/>
          <c:h val="8.464941882264716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Book Antiqua" pitchFamily="18" charset="0"/>
              </a:rPr>
              <a:t>Relationship of myiasis with body temperature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264786076497718"/>
          <c:y val="0.11964991821304255"/>
          <c:w val="0.81823535407588865"/>
          <c:h val="0.71932149785624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Fever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</c:v>
                </c:pt>
                <c:pt idx="1">
                  <c:v>38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</c:v>
                </c:pt>
                <c:pt idx="1">
                  <c:v>51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sub-normal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&lt; 15 larvae</c:v>
                </c:pt>
                <c:pt idx="1">
                  <c:v>15-40 larvae</c:v>
                </c:pt>
                <c:pt idx="2">
                  <c:v>&gt; 40 larvae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50</c:v>
                </c:pt>
                <c:pt idx="1">
                  <c:v>33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59872"/>
        <c:axId val="184565760"/>
      </c:barChart>
      <c:catAx>
        <c:axId val="18455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565760"/>
        <c:crosses val="autoZero"/>
        <c:auto val="1"/>
        <c:lblAlgn val="ctr"/>
        <c:lblOffset val="100"/>
        <c:noMultiLvlLbl val="0"/>
      </c:catAx>
      <c:valAx>
        <c:axId val="184565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Percentages of larvae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45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228368332157101"/>
          <c:y val="0.92453212818976527"/>
          <c:w val="0.8441895888909452"/>
          <c:h val="7.324482739861648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Prevalence</a:t>
            </a:r>
            <a:r>
              <a:rPr lang="en-US" sz="1200" baseline="0">
                <a:latin typeface="Book Antiqua" pitchFamily="18" charset="0"/>
              </a:rPr>
              <a:t> of myiasis  in accordance to posture and gait</a:t>
            </a:r>
            <a:endParaRPr lang="en-US" sz="1200">
              <a:latin typeface="Book Antiqua" pitchFamily="18" charset="0"/>
            </a:endParaRPr>
          </a:p>
        </c:rich>
      </c:tx>
      <c:layout>
        <c:manualLayout>
          <c:xMode val="edge"/>
          <c:yMode val="edge"/>
          <c:x val="0.119947230280425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89988290696545"/>
          <c:y val="0.15064319482225652"/>
          <c:w val="0.7625085221106096"/>
          <c:h val="0.624704257629738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Posture</c:v>
                </c:pt>
              </c:strCache>
            </c:strRef>
          </c:tx>
          <c:spPr>
            <a:solidFill>
              <a:srgbClr val="6CA62C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Defective</c:v>
                </c:pt>
                <c:pt idx="1">
                  <c:v>Normal</c:v>
                </c:pt>
                <c:pt idx="2">
                  <c:v>Lameness</c:v>
                </c:pt>
                <c:pt idx="3">
                  <c:v>Normal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41.3</c:v>
                </c:pt>
                <c:pt idx="1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Gait</c:v>
                </c:pt>
              </c:strCache>
            </c:strRef>
          </c:tx>
          <c:spPr>
            <a:solidFill>
              <a:srgbClr val="8E000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Defective</c:v>
                </c:pt>
                <c:pt idx="1">
                  <c:v>Normal</c:v>
                </c:pt>
                <c:pt idx="2">
                  <c:v>Lameness</c:v>
                </c:pt>
                <c:pt idx="3">
                  <c:v>Normal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29.7</c:v>
                </c:pt>
                <c:pt idx="3">
                  <c:v>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84603776"/>
        <c:axId val="184605312"/>
      </c:barChart>
      <c:catAx>
        <c:axId val="18460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605312"/>
        <c:crosses val="autoZero"/>
        <c:auto val="1"/>
        <c:lblAlgn val="ctr"/>
        <c:lblOffset val="100"/>
        <c:noMultiLvlLbl val="0"/>
      </c:catAx>
      <c:valAx>
        <c:axId val="1846053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Prevalence</a:t>
                </a:r>
                <a:r>
                  <a:rPr lang="en-US" baseline="0"/>
                  <a:t> %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4603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6C92-073D-4152-958C-9F4A96A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</dc:creator>
  <cp:lastModifiedBy>ismail - [2010]</cp:lastModifiedBy>
  <cp:revision>160</cp:revision>
  <cp:lastPrinted>2015-01-13T10:27:00Z</cp:lastPrinted>
  <dcterms:created xsi:type="dcterms:W3CDTF">2013-06-04T18:34:00Z</dcterms:created>
  <dcterms:modified xsi:type="dcterms:W3CDTF">2015-01-17T02:35:00Z</dcterms:modified>
</cp:coreProperties>
</file>