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07" w:type="dxa"/>
        <w:jc w:val="center"/>
        <w:tblInd w:w="540" w:type="dxa"/>
        <w:tblLook w:val="04A0"/>
      </w:tblPr>
      <w:tblGrid>
        <w:gridCol w:w="1170"/>
        <w:gridCol w:w="7560"/>
        <w:gridCol w:w="1077"/>
      </w:tblGrid>
      <w:tr w:rsidR="00B24F8C" w:rsidRPr="00B92A33" w:rsidTr="008D5BCE">
        <w:trPr>
          <w:trHeight w:val="273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B24F8C" w:rsidRPr="00B92A33" w:rsidRDefault="00CE72FE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92A33">
              <w:rPr>
                <w:rFonts w:ascii="Times New Roman" w:hAnsi="Times New Roman" w:cs="Times New Roman"/>
                <w:b/>
                <w:szCs w:val="24"/>
              </w:rPr>
              <w:t>No of table</w:t>
            </w:r>
          </w:p>
        </w:tc>
        <w:tc>
          <w:tcPr>
            <w:tcW w:w="7560" w:type="dxa"/>
            <w:shd w:val="clear" w:color="auto" w:fill="BFBFBF" w:themeFill="background1" w:themeFillShade="BF"/>
          </w:tcPr>
          <w:p w:rsidR="00B24F8C" w:rsidRPr="00B92A33" w:rsidRDefault="00CE72FE" w:rsidP="00F34B47">
            <w:pPr>
              <w:tabs>
                <w:tab w:val="left" w:pos="10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92A33">
              <w:rPr>
                <w:rFonts w:ascii="Times New Roman" w:hAnsi="Times New Roman" w:cs="Times New Roman"/>
                <w:b/>
                <w:szCs w:val="24"/>
              </w:rPr>
              <w:t>Name of Table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B24F8C" w:rsidRPr="00B92A33" w:rsidRDefault="00B24F8C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92A33">
              <w:rPr>
                <w:rFonts w:ascii="Times New Roman" w:hAnsi="Times New Roman" w:cs="Times New Roman"/>
                <w:b/>
                <w:szCs w:val="24"/>
              </w:rPr>
              <w:t>Page No</w:t>
            </w:r>
          </w:p>
        </w:tc>
      </w:tr>
      <w:tr w:rsidR="00B24F8C" w:rsidRPr="00B92A33" w:rsidTr="008D5BCE">
        <w:trPr>
          <w:trHeight w:val="127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B24F8C" w:rsidRPr="00B92A33" w:rsidRDefault="001C7756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7560" w:type="dxa"/>
          </w:tcPr>
          <w:p w:rsidR="00B24F8C" w:rsidRPr="00B92A33" w:rsidRDefault="001C7756" w:rsidP="00F34B4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 xml:space="preserve">Important genera </w:t>
            </w:r>
            <w:r w:rsidRPr="00B92A33">
              <w:rPr>
                <w:rFonts w:ascii="Times New Roman" w:hAnsi="Times New Roman" w:cs="Times New Roman"/>
                <w:bCs/>
                <w:szCs w:val="24"/>
              </w:rPr>
              <w:t>Alpha herpesvirinae</w:t>
            </w:r>
          </w:p>
        </w:tc>
        <w:tc>
          <w:tcPr>
            <w:tcW w:w="1077" w:type="dxa"/>
          </w:tcPr>
          <w:p w:rsidR="00B24F8C" w:rsidRPr="00B92A33" w:rsidRDefault="001024D7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B24F8C" w:rsidRPr="00B92A33" w:rsidTr="008D5BCE">
        <w:trPr>
          <w:trHeight w:val="127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B24F8C" w:rsidRPr="00B92A33" w:rsidRDefault="001C07D9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7560" w:type="dxa"/>
            <w:shd w:val="clear" w:color="auto" w:fill="auto"/>
          </w:tcPr>
          <w:p w:rsidR="00B24F8C" w:rsidRPr="00B92A33" w:rsidRDefault="001C07D9" w:rsidP="00F34B4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 xml:space="preserve">Important genera </w:t>
            </w:r>
            <w:r w:rsidRPr="00B92A33">
              <w:rPr>
                <w:rFonts w:ascii="Times New Roman" w:hAnsi="Times New Roman" w:cs="Times New Roman"/>
                <w:bCs/>
                <w:szCs w:val="24"/>
              </w:rPr>
              <w:t>Beta herpesvirinae</w:t>
            </w:r>
          </w:p>
        </w:tc>
        <w:tc>
          <w:tcPr>
            <w:tcW w:w="1077" w:type="dxa"/>
            <w:shd w:val="clear" w:color="auto" w:fill="auto"/>
          </w:tcPr>
          <w:p w:rsidR="00B24F8C" w:rsidRPr="00B92A33" w:rsidRDefault="001024D7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B24F8C" w:rsidRPr="00B92A33" w:rsidTr="008D5BCE">
        <w:trPr>
          <w:trHeight w:val="127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B24F8C" w:rsidRPr="00B92A33" w:rsidRDefault="001C07D9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7560" w:type="dxa"/>
            <w:shd w:val="clear" w:color="auto" w:fill="auto"/>
          </w:tcPr>
          <w:p w:rsidR="00B24F8C" w:rsidRPr="00B92A33" w:rsidRDefault="001C07D9" w:rsidP="00F34B4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 xml:space="preserve">Important genera </w:t>
            </w:r>
            <w:r w:rsidRPr="00B92A33">
              <w:rPr>
                <w:rFonts w:ascii="Times New Roman" w:hAnsi="Times New Roman" w:cs="Times New Roman"/>
                <w:bCs/>
                <w:szCs w:val="24"/>
              </w:rPr>
              <w:t>Gamma herpesvirinae.</w:t>
            </w:r>
          </w:p>
        </w:tc>
        <w:tc>
          <w:tcPr>
            <w:tcW w:w="1077" w:type="dxa"/>
            <w:shd w:val="clear" w:color="auto" w:fill="auto"/>
          </w:tcPr>
          <w:p w:rsidR="00B24F8C" w:rsidRPr="00B92A33" w:rsidRDefault="007C15EC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FC21D5" w:rsidRPr="00B92A33" w:rsidTr="008D5BCE">
        <w:trPr>
          <w:trHeight w:val="133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FC21D5" w:rsidRPr="00B92A33" w:rsidRDefault="007664F1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2.4</w:t>
            </w:r>
          </w:p>
        </w:tc>
        <w:tc>
          <w:tcPr>
            <w:tcW w:w="7560" w:type="dxa"/>
          </w:tcPr>
          <w:p w:rsidR="00FC21D5" w:rsidRPr="00B92A33" w:rsidRDefault="007664F1" w:rsidP="00F34B4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Infectious laryngotracheitis identifications in the world</w:t>
            </w:r>
          </w:p>
        </w:tc>
        <w:tc>
          <w:tcPr>
            <w:tcW w:w="1077" w:type="dxa"/>
          </w:tcPr>
          <w:p w:rsidR="00FC21D5" w:rsidRPr="00B92A33" w:rsidRDefault="00DB23DF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8052F" w:rsidRPr="00B92A33" w:rsidTr="008D5BCE">
        <w:trPr>
          <w:trHeight w:val="127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D8052F" w:rsidRPr="00B92A33" w:rsidRDefault="00146C1F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7560" w:type="dxa"/>
          </w:tcPr>
          <w:p w:rsidR="00D8052F" w:rsidRPr="00B92A33" w:rsidRDefault="00146C1F" w:rsidP="00F34B4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bCs/>
                <w:szCs w:val="24"/>
              </w:rPr>
              <w:t>ILTV Sequences used to compile the ILTV Reference Sequence.</w:t>
            </w:r>
          </w:p>
        </w:tc>
        <w:tc>
          <w:tcPr>
            <w:tcW w:w="1077" w:type="dxa"/>
          </w:tcPr>
          <w:p w:rsidR="00D8052F" w:rsidRPr="00B92A33" w:rsidRDefault="00B13DD4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D8052F" w:rsidRPr="00B92A33" w:rsidTr="008D5BCE">
        <w:trPr>
          <w:trHeight w:val="160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D8052F" w:rsidRPr="00B92A33" w:rsidRDefault="00B441D3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2.6</w:t>
            </w:r>
          </w:p>
        </w:tc>
        <w:tc>
          <w:tcPr>
            <w:tcW w:w="7560" w:type="dxa"/>
          </w:tcPr>
          <w:p w:rsidR="00D8052F" w:rsidRPr="00B92A33" w:rsidRDefault="00B441D3" w:rsidP="00F34B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Differences in the size of predicted translation products between the Serva ILTV strain and the concatenated ILTV reference sequence.</w:t>
            </w:r>
          </w:p>
        </w:tc>
        <w:tc>
          <w:tcPr>
            <w:tcW w:w="1077" w:type="dxa"/>
          </w:tcPr>
          <w:p w:rsidR="00D8052F" w:rsidRPr="00B92A33" w:rsidRDefault="00B13DD4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D8052F" w:rsidRPr="00B92A33" w:rsidTr="008D5BCE">
        <w:trPr>
          <w:trHeight w:val="127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D8052F" w:rsidRPr="00B92A33" w:rsidRDefault="00E50767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bCs/>
                <w:szCs w:val="24"/>
              </w:rPr>
              <w:t>3.1</w:t>
            </w:r>
          </w:p>
        </w:tc>
        <w:tc>
          <w:tcPr>
            <w:tcW w:w="7560" w:type="dxa"/>
          </w:tcPr>
          <w:p w:rsidR="00D8052F" w:rsidRPr="00B92A33" w:rsidRDefault="00E50767" w:rsidP="00F34B4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bCs/>
                <w:szCs w:val="24"/>
              </w:rPr>
              <w:t>Details of the primers used for multiplex PCR</w:t>
            </w:r>
          </w:p>
        </w:tc>
        <w:tc>
          <w:tcPr>
            <w:tcW w:w="1077" w:type="dxa"/>
          </w:tcPr>
          <w:p w:rsidR="00D8052F" w:rsidRPr="00B92A33" w:rsidRDefault="00512E22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52</w:t>
            </w:r>
          </w:p>
        </w:tc>
      </w:tr>
      <w:tr w:rsidR="00D8052F" w:rsidRPr="00B92A33" w:rsidTr="008D5BCE">
        <w:trPr>
          <w:trHeight w:val="127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D8052F" w:rsidRPr="00B92A33" w:rsidRDefault="00E50767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7560" w:type="dxa"/>
          </w:tcPr>
          <w:p w:rsidR="00D8052F" w:rsidRPr="00B92A33" w:rsidRDefault="00E50767" w:rsidP="00F34B4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 xml:space="preserve">Composition of 2X PCR Master mix solution (i-Taq </w:t>
            </w:r>
            <w:r w:rsidRPr="00B92A33">
              <w:rPr>
                <w:rFonts w:ascii="Times New Roman" w:hAnsi="Times New Roman" w:cs="Times New Roman"/>
                <w:szCs w:val="24"/>
                <w:vertAlign w:val="superscript"/>
              </w:rPr>
              <w:t>TM</w:t>
            </w:r>
            <w:r w:rsidRPr="00B92A33">
              <w:rPr>
                <w:rFonts w:ascii="Times New Roman" w:hAnsi="Times New Roman" w:cs="Times New Roman"/>
                <w:szCs w:val="24"/>
              </w:rPr>
              <w:t>, iNtRON)</w:t>
            </w:r>
          </w:p>
        </w:tc>
        <w:tc>
          <w:tcPr>
            <w:tcW w:w="1077" w:type="dxa"/>
          </w:tcPr>
          <w:p w:rsidR="00D8052F" w:rsidRPr="00B92A33" w:rsidRDefault="001A3CB5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54</w:t>
            </w:r>
          </w:p>
        </w:tc>
      </w:tr>
      <w:tr w:rsidR="00D8052F" w:rsidRPr="00B92A33" w:rsidTr="008D5BCE">
        <w:trPr>
          <w:trHeight w:val="127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D8052F" w:rsidRPr="00B92A33" w:rsidRDefault="00E50767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3.3</w:t>
            </w:r>
          </w:p>
        </w:tc>
        <w:tc>
          <w:tcPr>
            <w:tcW w:w="7560" w:type="dxa"/>
          </w:tcPr>
          <w:p w:rsidR="00D8052F" w:rsidRPr="00B92A33" w:rsidRDefault="00E50767" w:rsidP="00F34B4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bCs/>
                <w:szCs w:val="24"/>
              </w:rPr>
              <w:t>Composition of reaction mixture</w:t>
            </w:r>
          </w:p>
        </w:tc>
        <w:tc>
          <w:tcPr>
            <w:tcW w:w="1077" w:type="dxa"/>
          </w:tcPr>
          <w:p w:rsidR="00D8052F" w:rsidRPr="00B92A33" w:rsidRDefault="001A3CB5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54</w:t>
            </w:r>
          </w:p>
        </w:tc>
      </w:tr>
      <w:tr w:rsidR="00D8052F" w:rsidRPr="00B92A33" w:rsidTr="008D5BCE">
        <w:trPr>
          <w:trHeight w:val="133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D8052F" w:rsidRPr="00B92A33" w:rsidRDefault="007905D7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3.4</w:t>
            </w:r>
          </w:p>
        </w:tc>
        <w:tc>
          <w:tcPr>
            <w:tcW w:w="7560" w:type="dxa"/>
          </w:tcPr>
          <w:p w:rsidR="00D8052F" w:rsidRPr="00B92A33" w:rsidRDefault="007905D7" w:rsidP="00F34B4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bCs/>
                <w:szCs w:val="24"/>
              </w:rPr>
              <w:t>Steps and conditions of thermal cycling for mPCR</w:t>
            </w:r>
          </w:p>
        </w:tc>
        <w:tc>
          <w:tcPr>
            <w:tcW w:w="1077" w:type="dxa"/>
          </w:tcPr>
          <w:p w:rsidR="00D8052F" w:rsidRPr="00B92A33" w:rsidRDefault="001A3CB5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54</w:t>
            </w:r>
          </w:p>
        </w:tc>
      </w:tr>
      <w:tr w:rsidR="00D8052F" w:rsidRPr="00B92A33" w:rsidTr="008D5BCE">
        <w:trPr>
          <w:trHeight w:val="127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D8052F" w:rsidRPr="00B92A33" w:rsidRDefault="007905D7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3.5</w:t>
            </w:r>
          </w:p>
        </w:tc>
        <w:tc>
          <w:tcPr>
            <w:tcW w:w="7560" w:type="dxa"/>
          </w:tcPr>
          <w:p w:rsidR="00D8052F" w:rsidRPr="00B92A33" w:rsidRDefault="007905D7" w:rsidP="00F34B4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bCs/>
                <w:szCs w:val="24"/>
              </w:rPr>
              <w:t>Details of the primers used for PCR</w:t>
            </w:r>
          </w:p>
        </w:tc>
        <w:tc>
          <w:tcPr>
            <w:tcW w:w="1077" w:type="dxa"/>
          </w:tcPr>
          <w:p w:rsidR="00D8052F" w:rsidRPr="00B92A33" w:rsidRDefault="002C6F44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D8052F" w:rsidRPr="00B92A33" w:rsidTr="008D5BCE">
        <w:trPr>
          <w:trHeight w:val="127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D8052F" w:rsidRPr="00B92A33" w:rsidRDefault="007905D7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3.6</w:t>
            </w:r>
          </w:p>
        </w:tc>
        <w:tc>
          <w:tcPr>
            <w:tcW w:w="7560" w:type="dxa"/>
          </w:tcPr>
          <w:p w:rsidR="00D8052F" w:rsidRPr="00B92A33" w:rsidRDefault="007905D7" w:rsidP="00F34B47">
            <w:pPr>
              <w:tabs>
                <w:tab w:val="left" w:pos="1661"/>
              </w:tabs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bCs/>
                <w:szCs w:val="24"/>
              </w:rPr>
              <w:t>Composition of reaction mixture for ICP4 gene specific PCR</w:t>
            </w:r>
          </w:p>
        </w:tc>
        <w:tc>
          <w:tcPr>
            <w:tcW w:w="1077" w:type="dxa"/>
          </w:tcPr>
          <w:p w:rsidR="00D8052F" w:rsidRPr="00B92A33" w:rsidRDefault="00FE6A14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57</w:t>
            </w:r>
          </w:p>
        </w:tc>
      </w:tr>
      <w:tr w:rsidR="00D8052F" w:rsidRPr="00B92A33" w:rsidTr="008D5BCE">
        <w:trPr>
          <w:trHeight w:val="133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D8052F" w:rsidRPr="00B92A33" w:rsidRDefault="007905D7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3.7</w:t>
            </w:r>
          </w:p>
        </w:tc>
        <w:tc>
          <w:tcPr>
            <w:tcW w:w="7560" w:type="dxa"/>
          </w:tcPr>
          <w:p w:rsidR="00D8052F" w:rsidRPr="00B92A33" w:rsidRDefault="007905D7" w:rsidP="00F34B47">
            <w:pPr>
              <w:tabs>
                <w:tab w:val="left" w:pos="1142"/>
              </w:tabs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bCs/>
                <w:szCs w:val="24"/>
              </w:rPr>
              <w:t xml:space="preserve">Steps and conditions of thermal cycling for </w:t>
            </w:r>
            <w:r w:rsidR="0032429F" w:rsidRPr="00B92A33">
              <w:rPr>
                <w:rFonts w:ascii="Times New Roman" w:hAnsi="Times New Roman" w:cs="Times New Roman"/>
                <w:bCs/>
                <w:szCs w:val="24"/>
              </w:rPr>
              <w:t xml:space="preserve">Gradient </w:t>
            </w:r>
            <w:r w:rsidRPr="00B92A33">
              <w:rPr>
                <w:rFonts w:ascii="Times New Roman" w:hAnsi="Times New Roman" w:cs="Times New Roman"/>
                <w:bCs/>
                <w:szCs w:val="24"/>
              </w:rPr>
              <w:t>PCR</w:t>
            </w:r>
          </w:p>
        </w:tc>
        <w:tc>
          <w:tcPr>
            <w:tcW w:w="1077" w:type="dxa"/>
          </w:tcPr>
          <w:p w:rsidR="00D8052F" w:rsidRPr="00B92A33" w:rsidRDefault="00FE6A14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57</w:t>
            </w:r>
          </w:p>
        </w:tc>
      </w:tr>
      <w:tr w:rsidR="00D8052F" w:rsidRPr="00B92A33" w:rsidTr="008D5BCE">
        <w:trPr>
          <w:trHeight w:val="127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D8052F" w:rsidRPr="00B92A33" w:rsidRDefault="00C112F6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3.8</w:t>
            </w:r>
          </w:p>
        </w:tc>
        <w:tc>
          <w:tcPr>
            <w:tcW w:w="7560" w:type="dxa"/>
          </w:tcPr>
          <w:p w:rsidR="00D8052F" w:rsidRPr="00B92A33" w:rsidRDefault="00C112F6" w:rsidP="00F34B47">
            <w:pPr>
              <w:tabs>
                <w:tab w:val="left" w:pos="1440"/>
              </w:tabs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bCs/>
                <w:szCs w:val="24"/>
              </w:rPr>
              <w:t>Composition of reaction mixture for each tube</w:t>
            </w:r>
          </w:p>
        </w:tc>
        <w:tc>
          <w:tcPr>
            <w:tcW w:w="1077" w:type="dxa"/>
          </w:tcPr>
          <w:p w:rsidR="00D8052F" w:rsidRPr="00B92A33" w:rsidRDefault="00FE6A14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58</w:t>
            </w:r>
          </w:p>
        </w:tc>
      </w:tr>
      <w:tr w:rsidR="00D8052F" w:rsidRPr="00B92A33" w:rsidTr="008D5BCE">
        <w:trPr>
          <w:trHeight w:val="127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D8052F" w:rsidRPr="00B92A33" w:rsidRDefault="00C112F6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3.9</w:t>
            </w:r>
          </w:p>
        </w:tc>
        <w:tc>
          <w:tcPr>
            <w:tcW w:w="7560" w:type="dxa"/>
          </w:tcPr>
          <w:p w:rsidR="00D8052F" w:rsidRPr="00B92A33" w:rsidRDefault="00C112F6" w:rsidP="00F34B47">
            <w:pPr>
              <w:tabs>
                <w:tab w:val="left" w:pos="1738"/>
              </w:tabs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bCs/>
                <w:szCs w:val="24"/>
              </w:rPr>
              <w:t>Steps and conditions of thermal cycling for PCR</w:t>
            </w:r>
          </w:p>
        </w:tc>
        <w:tc>
          <w:tcPr>
            <w:tcW w:w="1077" w:type="dxa"/>
          </w:tcPr>
          <w:p w:rsidR="00D8052F" w:rsidRPr="00B92A33" w:rsidRDefault="00FE6A14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58</w:t>
            </w:r>
          </w:p>
        </w:tc>
      </w:tr>
      <w:tr w:rsidR="00F20174" w:rsidRPr="00B92A33" w:rsidTr="008D5BCE">
        <w:trPr>
          <w:trHeight w:val="127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F20174" w:rsidRPr="00B92A33" w:rsidRDefault="00963CB2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7560" w:type="dxa"/>
          </w:tcPr>
          <w:p w:rsidR="00F20174" w:rsidRPr="00B92A33" w:rsidRDefault="00012F63" w:rsidP="00F34B4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 xml:space="preserve">Result of molecular detection of ILTV infection. </w:t>
            </w:r>
          </w:p>
        </w:tc>
        <w:tc>
          <w:tcPr>
            <w:tcW w:w="1077" w:type="dxa"/>
          </w:tcPr>
          <w:p w:rsidR="00F20174" w:rsidRPr="00B92A33" w:rsidRDefault="009B54E9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20174" w:rsidRPr="00B92A33" w:rsidTr="008D5BCE">
        <w:trPr>
          <w:trHeight w:val="133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F20174" w:rsidRPr="00B92A33" w:rsidRDefault="001620A3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4.2</w:t>
            </w:r>
          </w:p>
        </w:tc>
        <w:tc>
          <w:tcPr>
            <w:tcW w:w="7560" w:type="dxa"/>
          </w:tcPr>
          <w:p w:rsidR="00F20174" w:rsidRPr="00B92A33" w:rsidRDefault="00012F63" w:rsidP="00F34B47">
            <w:pPr>
              <w:tabs>
                <w:tab w:val="left" w:pos="1103"/>
              </w:tabs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Distribution of ILT infection detected in the present study</w:t>
            </w:r>
          </w:p>
        </w:tc>
        <w:tc>
          <w:tcPr>
            <w:tcW w:w="1077" w:type="dxa"/>
          </w:tcPr>
          <w:p w:rsidR="00F20174" w:rsidRPr="00B92A33" w:rsidRDefault="00363E0E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67</w:t>
            </w:r>
          </w:p>
        </w:tc>
      </w:tr>
      <w:tr w:rsidR="00F20174" w:rsidRPr="00B92A33" w:rsidTr="008D5BCE">
        <w:trPr>
          <w:trHeight w:val="127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F20174" w:rsidRPr="00B92A33" w:rsidRDefault="001620A3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4.3</w:t>
            </w:r>
          </w:p>
        </w:tc>
        <w:tc>
          <w:tcPr>
            <w:tcW w:w="7560" w:type="dxa"/>
          </w:tcPr>
          <w:p w:rsidR="00F20174" w:rsidRPr="00B92A33" w:rsidRDefault="001620A3" w:rsidP="00F34B4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GC and AT content of obtained sequences of field isolates and vaccine isolate</w:t>
            </w:r>
          </w:p>
        </w:tc>
        <w:tc>
          <w:tcPr>
            <w:tcW w:w="1077" w:type="dxa"/>
          </w:tcPr>
          <w:p w:rsidR="00F20174" w:rsidRPr="00B92A33" w:rsidRDefault="00363E0E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69</w:t>
            </w:r>
          </w:p>
        </w:tc>
      </w:tr>
      <w:tr w:rsidR="00F34B47" w:rsidRPr="00B92A33" w:rsidTr="008D5BCE">
        <w:trPr>
          <w:trHeight w:val="127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F34B47" w:rsidRPr="00B92A33" w:rsidRDefault="00F34B47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4.4</w:t>
            </w:r>
          </w:p>
        </w:tc>
        <w:tc>
          <w:tcPr>
            <w:tcW w:w="7560" w:type="dxa"/>
          </w:tcPr>
          <w:p w:rsidR="00F34B47" w:rsidRPr="00B92A33" w:rsidRDefault="00F34B47" w:rsidP="00F34B4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Accession number provided by GenBank</w:t>
            </w:r>
          </w:p>
        </w:tc>
        <w:tc>
          <w:tcPr>
            <w:tcW w:w="1077" w:type="dxa"/>
          </w:tcPr>
          <w:p w:rsidR="00F34B47" w:rsidRPr="00B92A33" w:rsidRDefault="00F34B47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69</w:t>
            </w:r>
          </w:p>
        </w:tc>
      </w:tr>
      <w:tr w:rsidR="00496209" w:rsidRPr="00B92A33" w:rsidTr="008D5BCE">
        <w:trPr>
          <w:trHeight w:val="127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496209" w:rsidRPr="00B92A33" w:rsidRDefault="00DF4CCC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4.5</w:t>
            </w:r>
          </w:p>
        </w:tc>
        <w:tc>
          <w:tcPr>
            <w:tcW w:w="7560" w:type="dxa"/>
          </w:tcPr>
          <w:p w:rsidR="00496209" w:rsidRPr="00B92A33" w:rsidRDefault="00DF4CCC" w:rsidP="00F34B4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BLASTN hits shows 100% similarity of the sequence of vaccine isolate (Cvac) with other sequences in GenBank database</w:t>
            </w:r>
          </w:p>
        </w:tc>
        <w:tc>
          <w:tcPr>
            <w:tcW w:w="1077" w:type="dxa"/>
          </w:tcPr>
          <w:p w:rsidR="00496209" w:rsidRPr="00B92A33" w:rsidRDefault="00EF7889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72</w:t>
            </w:r>
          </w:p>
        </w:tc>
      </w:tr>
      <w:tr w:rsidR="00496209" w:rsidRPr="00B92A33" w:rsidTr="008D5BCE">
        <w:trPr>
          <w:trHeight w:val="160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496209" w:rsidRPr="00B92A33" w:rsidRDefault="00146810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4.6</w:t>
            </w:r>
          </w:p>
        </w:tc>
        <w:tc>
          <w:tcPr>
            <w:tcW w:w="7560" w:type="dxa"/>
          </w:tcPr>
          <w:p w:rsidR="00496209" w:rsidRPr="00B92A33" w:rsidRDefault="002072CA" w:rsidP="00F34B4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Table shows some top similarities to the sequence of Bangladeshi field isolate (CVASU-1); GenBank AC. No. KC576525 with other sequences from GenBank Database through Blast search.</w:t>
            </w:r>
          </w:p>
        </w:tc>
        <w:tc>
          <w:tcPr>
            <w:tcW w:w="1077" w:type="dxa"/>
          </w:tcPr>
          <w:p w:rsidR="00496209" w:rsidRPr="00B92A33" w:rsidRDefault="00EF7889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78</w:t>
            </w:r>
          </w:p>
        </w:tc>
      </w:tr>
      <w:tr w:rsidR="00496209" w:rsidRPr="00B92A33" w:rsidTr="008D5BCE">
        <w:trPr>
          <w:trHeight w:val="127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496209" w:rsidRPr="00B92A33" w:rsidRDefault="002072CA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4.7</w:t>
            </w:r>
          </w:p>
        </w:tc>
        <w:tc>
          <w:tcPr>
            <w:tcW w:w="7560" w:type="dxa"/>
          </w:tcPr>
          <w:p w:rsidR="00496209" w:rsidRPr="00B92A33" w:rsidRDefault="002072CA" w:rsidP="00F34B4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Variation in the ILTV -ICP4 gene nucleotide sequences at different nucleotide sites among reference sequences as well as sequence of vaccine and filed isolate of Bangladesh.</w:t>
            </w:r>
          </w:p>
        </w:tc>
        <w:tc>
          <w:tcPr>
            <w:tcW w:w="1077" w:type="dxa"/>
          </w:tcPr>
          <w:p w:rsidR="00496209" w:rsidRPr="00B92A33" w:rsidRDefault="00042F83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81</w:t>
            </w:r>
          </w:p>
        </w:tc>
      </w:tr>
      <w:tr w:rsidR="00496209" w:rsidRPr="00B92A33" w:rsidTr="008D5BCE">
        <w:trPr>
          <w:trHeight w:val="692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496209" w:rsidRPr="00B92A33" w:rsidRDefault="00AB7665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bCs/>
                <w:szCs w:val="24"/>
              </w:rPr>
              <w:t>Table 1</w:t>
            </w:r>
          </w:p>
        </w:tc>
        <w:tc>
          <w:tcPr>
            <w:tcW w:w="7560" w:type="dxa"/>
          </w:tcPr>
          <w:p w:rsidR="00496209" w:rsidRPr="00B92A33" w:rsidRDefault="00AB7665" w:rsidP="00F34B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 xml:space="preserve">Commercially available Viral Gene-spin </w:t>
            </w:r>
            <w:r w:rsidRPr="00B92A33">
              <w:rPr>
                <w:rFonts w:ascii="Times New Roman" w:hAnsi="Times New Roman" w:cs="Times New Roman"/>
                <w:szCs w:val="24"/>
                <w:vertAlign w:val="superscript"/>
              </w:rPr>
              <w:t xml:space="preserve">TM </w:t>
            </w:r>
            <w:r w:rsidRPr="00B92A33">
              <w:rPr>
                <w:rFonts w:ascii="Times New Roman" w:hAnsi="Times New Roman" w:cs="Times New Roman"/>
                <w:szCs w:val="24"/>
              </w:rPr>
              <w:t>; iNtRON</w:t>
            </w:r>
            <w:r w:rsidRPr="00B92A33">
              <w:rPr>
                <w:rFonts w:ascii="Times New Roman" w:hAnsi="Times New Roman" w:cs="Times New Roman"/>
                <w:szCs w:val="24"/>
                <w:vertAlign w:val="superscript"/>
              </w:rPr>
              <w:t xml:space="preserve">® </w:t>
            </w:r>
            <w:r w:rsidRPr="00B92A33">
              <w:rPr>
                <w:rFonts w:ascii="Times New Roman" w:hAnsi="Times New Roman" w:cs="Times New Roman"/>
                <w:bCs/>
                <w:szCs w:val="24"/>
              </w:rPr>
              <w:t>Viral</w:t>
            </w:r>
            <w:r w:rsidRPr="00B92A33">
              <w:rPr>
                <w:rFonts w:ascii="Times New Roman" w:hAnsi="Times New Roman" w:cs="Times New Roman"/>
                <w:szCs w:val="24"/>
              </w:rPr>
              <w:t xml:space="preserve"> DNA/RNA purification kit</w:t>
            </w:r>
            <w:r w:rsidR="00FA51E3" w:rsidRPr="00B92A3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077" w:type="dxa"/>
          </w:tcPr>
          <w:p w:rsidR="00496209" w:rsidRPr="00B92A33" w:rsidRDefault="008F5EB1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122</w:t>
            </w:r>
          </w:p>
        </w:tc>
      </w:tr>
      <w:tr w:rsidR="00496209" w:rsidRPr="00B92A33" w:rsidTr="008D5BCE">
        <w:trPr>
          <w:trHeight w:val="160"/>
          <w:jc w:val="center"/>
        </w:trPr>
        <w:tc>
          <w:tcPr>
            <w:tcW w:w="1170" w:type="dxa"/>
            <w:shd w:val="clear" w:color="auto" w:fill="BFBFBF" w:themeFill="background1" w:themeFillShade="BF"/>
          </w:tcPr>
          <w:p w:rsidR="00496209" w:rsidRPr="00B92A33" w:rsidRDefault="00AB7665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bCs/>
                <w:szCs w:val="24"/>
              </w:rPr>
              <w:t>Table 2</w:t>
            </w:r>
          </w:p>
        </w:tc>
        <w:tc>
          <w:tcPr>
            <w:tcW w:w="7560" w:type="dxa"/>
          </w:tcPr>
          <w:p w:rsidR="00496209" w:rsidRPr="00B92A33" w:rsidRDefault="00AB7665" w:rsidP="00B92A33">
            <w:pPr>
              <w:tabs>
                <w:tab w:val="center" w:pos="3717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92A33">
              <w:rPr>
                <w:rFonts w:ascii="Times New Roman" w:hAnsi="Times New Roman" w:cs="Times New Roman"/>
                <w:bCs/>
                <w:szCs w:val="24"/>
              </w:rPr>
              <w:t>Composition Of TAE Buffer</w:t>
            </w:r>
            <w:r w:rsidR="00B92A33" w:rsidRPr="00B92A33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1077" w:type="dxa"/>
          </w:tcPr>
          <w:p w:rsidR="00496209" w:rsidRPr="00B92A33" w:rsidRDefault="008F5EB1" w:rsidP="00F34B4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2A33">
              <w:rPr>
                <w:rFonts w:ascii="Times New Roman" w:hAnsi="Times New Roman" w:cs="Times New Roman"/>
                <w:szCs w:val="24"/>
              </w:rPr>
              <w:t>122</w:t>
            </w:r>
          </w:p>
        </w:tc>
      </w:tr>
    </w:tbl>
    <w:p w:rsidR="000631C0" w:rsidRPr="00004460" w:rsidRDefault="000631C0" w:rsidP="000044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31C0" w:rsidRPr="00004460" w:rsidSect="00D05ECD">
      <w:headerReference w:type="default" r:id="rId6"/>
      <w:footerReference w:type="default" r:id="rId7"/>
      <w:pgSz w:w="11907" w:h="16839" w:code="9"/>
      <w:pgMar w:top="1440" w:right="1440" w:bottom="1440" w:left="1800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A2F" w:rsidRDefault="00335A2F" w:rsidP="00B24F8C">
      <w:pPr>
        <w:spacing w:after="0" w:line="240" w:lineRule="auto"/>
      </w:pPr>
      <w:r>
        <w:separator/>
      </w:r>
    </w:p>
  </w:endnote>
  <w:endnote w:type="continuationSeparator" w:id="1">
    <w:p w:rsidR="00335A2F" w:rsidRDefault="00335A2F" w:rsidP="00B2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243"/>
      <w:docPartObj>
        <w:docPartGallery w:val="Page Numbers (Bottom of Page)"/>
        <w:docPartUnique/>
      </w:docPartObj>
    </w:sdtPr>
    <w:sdtContent>
      <w:p w:rsidR="00D05ECD" w:rsidRDefault="00D05ECD">
        <w:pPr>
          <w:pStyle w:val="Footer"/>
          <w:jc w:val="center"/>
        </w:pPr>
        <w:fldSimple w:instr=" PAGE   \* MERGEFORMAT ">
          <w:r>
            <w:rPr>
              <w:noProof/>
            </w:rPr>
            <w:t>xi</w:t>
          </w:r>
        </w:fldSimple>
      </w:p>
    </w:sdtContent>
  </w:sdt>
  <w:p w:rsidR="00D05ECD" w:rsidRDefault="00D05E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A2F" w:rsidRDefault="00335A2F" w:rsidP="00B24F8C">
      <w:pPr>
        <w:spacing w:after="0" w:line="240" w:lineRule="auto"/>
      </w:pPr>
      <w:r>
        <w:separator/>
      </w:r>
    </w:p>
  </w:footnote>
  <w:footnote w:type="continuationSeparator" w:id="1">
    <w:p w:rsidR="00335A2F" w:rsidRDefault="00335A2F" w:rsidP="00B2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E0" w:rsidRPr="00B92A33" w:rsidRDefault="003B3F1A" w:rsidP="00F34B47">
    <w:pPr>
      <w:jc w:val="center"/>
      <w:rPr>
        <w:rFonts w:ascii="Times New Roman" w:hAnsi="Times New Roman" w:cs="Times New Roman"/>
        <w:b/>
        <w:sz w:val="36"/>
        <w:szCs w:val="40"/>
      </w:rPr>
    </w:pPr>
    <w:r w:rsidRPr="00B92A33">
      <w:rPr>
        <w:rFonts w:ascii="Times New Roman" w:hAnsi="Times New Roman" w:cs="Times New Roman"/>
        <w:b/>
        <w:sz w:val="36"/>
        <w:szCs w:val="40"/>
      </w:rPr>
      <w:t>List of Tables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F8C"/>
    <w:rsid w:val="00004460"/>
    <w:rsid w:val="00012F63"/>
    <w:rsid w:val="00030E01"/>
    <w:rsid w:val="00042F83"/>
    <w:rsid w:val="000631C0"/>
    <w:rsid w:val="001024D7"/>
    <w:rsid w:val="00120544"/>
    <w:rsid w:val="00146810"/>
    <w:rsid w:val="00146C1F"/>
    <w:rsid w:val="0015735C"/>
    <w:rsid w:val="001620A3"/>
    <w:rsid w:val="001A3CB5"/>
    <w:rsid w:val="001C07D9"/>
    <w:rsid w:val="001C6C65"/>
    <w:rsid w:val="001C7756"/>
    <w:rsid w:val="001D2E3C"/>
    <w:rsid w:val="002072CA"/>
    <w:rsid w:val="002B06AF"/>
    <w:rsid w:val="002C6F44"/>
    <w:rsid w:val="0032429F"/>
    <w:rsid w:val="0033454C"/>
    <w:rsid w:val="00335A2F"/>
    <w:rsid w:val="00363E0E"/>
    <w:rsid w:val="00364C20"/>
    <w:rsid w:val="003B3F1A"/>
    <w:rsid w:val="00456DAC"/>
    <w:rsid w:val="0048280B"/>
    <w:rsid w:val="00496209"/>
    <w:rsid w:val="004A535C"/>
    <w:rsid w:val="004D530E"/>
    <w:rsid w:val="00512E22"/>
    <w:rsid w:val="0056589E"/>
    <w:rsid w:val="0056666C"/>
    <w:rsid w:val="0065517A"/>
    <w:rsid w:val="006A4C66"/>
    <w:rsid w:val="006C7E0C"/>
    <w:rsid w:val="007664F1"/>
    <w:rsid w:val="007905D7"/>
    <w:rsid w:val="007C15EC"/>
    <w:rsid w:val="007E0FCB"/>
    <w:rsid w:val="00822844"/>
    <w:rsid w:val="00891788"/>
    <w:rsid w:val="008D5BCE"/>
    <w:rsid w:val="008E72B7"/>
    <w:rsid w:val="008F5EB1"/>
    <w:rsid w:val="00963CB2"/>
    <w:rsid w:val="009B54E9"/>
    <w:rsid w:val="009E4BC4"/>
    <w:rsid w:val="00AB7665"/>
    <w:rsid w:val="00B13DD4"/>
    <w:rsid w:val="00B24F8C"/>
    <w:rsid w:val="00B441D3"/>
    <w:rsid w:val="00B540EC"/>
    <w:rsid w:val="00B92A33"/>
    <w:rsid w:val="00C112F6"/>
    <w:rsid w:val="00C649D4"/>
    <w:rsid w:val="00C664DF"/>
    <w:rsid w:val="00CE72FE"/>
    <w:rsid w:val="00D05ECD"/>
    <w:rsid w:val="00D252B1"/>
    <w:rsid w:val="00D34198"/>
    <w:rsid w:val="00D8052F"/>
    <w:rsid w:val="00DB0408"/>
    <w:rsid w:val="00DB23DF"/>
    <w:rsid w:val="00DC05F7"/>
    <w:rsid w:val="00DF4CCC"/>
    <w:rsid w:val="00E50767"/>
    <w:rsid w:val="00EF7889"/>
    <w:rsid w:val="00F20174"/>
    <w:rsid w:val="00F34B47"/>
    <w:rsid w:val="00FA51E3"/>
    <w:rsid w:val="00FB6984"/>
    <w:rsid w:val="00FC21D5"/>
    <w:rsid w:val="00FD0641"/>
    <w:rsid w:val="00FE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4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F8C"/>
  </w:style>
  <w:style w:type="table" w:styleId="TableGrid">
    <w:name w:val="Table Grid"/>
    <w:basedOn w:val="TableNormal"/>
    <w:uiPriority w:val="59"/>
    <w:rsid w:val="00B24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24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SRiPA</dc:creator>
  <cp:keywords/>
  <dc:description/>
  <cp:lastModifiedBy>Md Abdul Ahad</cp:lastModifiedBy>
  <cp:revision>20</cp:revision>
  <dcterms:created xsi:type="dcterms:W3CDTF">2013-07-02T19:27:00Z</dcterms:created>
  <dcterms:modified xsi:type="dcterms:W3CDTF">2013-08-01T02:37:00Z</dcterms:modified>
</cp:coreProperties>
</file>