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AC" w:rsidRPr="002A1253" w:rsidRDefault="00BA57AC" w:rsidP="009F5801">
      <w:pPr>
        <w:spacing w:after="0" w:line="360" w:lineRule="auto"/>
        <w:jc w:val="center"/>
        <w:rPr>
          <w:rFonts w:ascii="Times New Roman" w:hAnsi="Times New Roman"/>
          <w:b/>
          <w:sz w:val="32"/>
          <w:szCs w:val="32"/>
        </w:rPr>
      </w:pPr>
      <w:r>
        <w:rPr>
          <w:rFonts w:ascii="Times New Roman" w:hAnsi="Times New Roman"/>
          <w:b/>
          <w:sz w:val="32"/>
          <w:szCs w:val="32"/>
        </w:rPr>
        <w:t>Chapter-</w:t>
      </w:r>
      <w:r w:rsidRPr="002A1253">
        <w:rPr>
          <w:rFonts w:ascii="Times New Roman" w:hAnsi="Times New Roman"/>
          <w:b/>
          <w:sz w:val="32"/>
          <w:szCs w:val="32"/>
        </w:rPr>
        <w:t>2</w:t>
      </w:r>
    </w:p>
    <w:p w:rsidR="00BA57AC" w:rsidRPr="009F5801" w:rsidRDefault="00BA57AC" w:rsidP="009F5801">
      <w:pPr>
        <w:spacing w:after="0" w:line="360" w:lineRule="auto"/>
        <w:jc w:val="center"/>
        <w:rPr>
          <w:rFonts w:ascii="Times New Roman" w:hAnsi="Times New Roman"/>
          <w:b/>
          <w:sz w:val="40"/>
          <w:szCs w:val="40"/>
        </w:rPr>
      </w:pPr>
      <w:r w:rsidRPr="009F5801">
        <w:rPr>
          <w:rFonts w:ascii="Times New Roman" w:hAnsi="Times New Roman"/>
          <w:b/>
          <w:sz w:val="40"/>
          <w:szCs w:val="40"/>
        </w:rPr>
        <w:t>RESEARCH METHODOLOGY</w:t>
      </w:r>
    </w:p>
    <w:p w:rsidR="00BA57AC" w:rsidRPr="009F5801" w:rsidRDefault="00BA57AC" w:rsidP="009F5801">
      <w:pPr>
        <w:spacing w:after="0" w:line="360" w:lineRule="auto"/>
        <w:rPr>
          <w:rFonts w:ascii="Times New Roman" w:hAnsi="Times New Roman"/>
          <w:b/>
          <w:sz w:val="16"/>
          <w:szCs w:val="40"/>
        </w:rPr>
      </w:pPr>
    </w:p>
    <w:p w:rsidR="00BA57AC" w:rsidRPr="009F5801" w:rsidRDefault="00BA57AC" w:rsidP="009F5801">
      <w:pPr>
        <w:spacing w:after="0" w:line="360" w:lineRule="auto"/>
        <w:rPr>
          <w:rFonts w:ascii="Times New Roman" w:hAnsi="Times New Roman"/>
          <w:b/>
          <w:sz w:val="28"/>
          <w:szCs w:val="28"/>
        </w:rPr>
      </w:pPr>
      <w:r>
        <w:rPr>
          <w:rFonts w:ascii="Times New Roman" w:hAnsi="Times New Roman"/>
          <w:b/>
          <w:sz w:val="28"/>
          <w:szCs w:val="28"/>
        </w:rPr>
        <w:t>2</w:t>
      </w:r>
      <w:r w:rsidRPr="009F5801">
        <w:rPr>
          <w:rFonts w:ascii="Times New Roman" w:hAnsi="Times New Roman"/>
          <w:b/>
          <w:sz w:val="28"/>
          <w:szCs w:val="28"/>
        </w:rPr>
        <w:t>.1 Study areas, size and sample collection</w:t>
      </w:r>
    </w:p>
    <w:p w:rsidR="00BA57AC" w:rsidRPr="009F5801" w:rsidRDefault="00BA57AC" w:rsidP="009F5801">
      <w:pPr>
        <w:spacing w:after="0" w:line="360" w:lineRule="auto"/>
        <w:jc w:val="both"/>
        <w:rPr>
          <w:rFonts w:ascii="Times New Roman" w:hAnsi="Times New Roman"/>
          <w:sz w:val="24"/>
          <w:szCs w:val="24"/>
        </w:rPr>
      </w:pPr>
      <w:r w:rsidRPr="009F5801">
        <w:rPr>
          <w:rFonts w:ascii="Times New Roman" w:hAnsi="Times New Roman"/>
          <w:sz w:val="24"/>
          <w:szCs w:val="24"/>
        </w:rPr>
        <w:t>A total of 60 samples (20 Goats) were purchased from retail outlet of different parts of Chittagong metropolitan area (Jhautola Bazar, Reajuddin Bazar and Kornafuly Market Chittagong) during 10.0</w:t>
      </w:r>
      <w:r>
        <w:rPr>
          <w:rFonts w:ascii="Times New Roman" w:hAnsi="Times New Roman"/>
          <w:sz w:val="24"/>
          <w:szCs w:val="24"/>
        </w:rPr>
        <w:t>1</w:t>
      </w:r>
      <w:r w:rsidRPr="009F5801">
        <w:rPr>
          <w:rFonts w:ascii="Times New Roman" w:hAnsi="Times New Roman"/>
          <w:sz w:val="24"/>
          <w:szCs w:val="24"/>
        </w:rPr>
        <w:t>.2015 to 20.0</w:t>
      </w:r>
      <w:r>
        <w:rPr>
          <w:rFonts w:ascii="Times New Roman" w:hAnsi="Times New Roman"/>
          <w:sz w:val="24"/>
          <w:szCs w:val="24"/>
        </w:rPr>
        <w:t>6</w:t>
      </w:r>
      <w:r w:rsidRPr="009F5801">
        <w:rPr>
          <w:rFonts w:ascii="Times New Roman" w:hAnsi="Times New Roman"/>
          <w:sz w:val="24"/>
          <w:szCs w:val="24"/>
        </w:rPr>
        <w:t>.2015. For g</w:t>
      </w:r>
      <w:r>
        <w:rPr>
          <w:rFonts w:ascii="Times New Roman" w:hAnsi="Times New Roman"/>
          <w:sz w:val="24"/>
          <w:szCs w:val="24"/>
        </w:rPr>
        <w:t>oats samples were taken from th</w:t>
      </w:r>
      <w:r w:rsidRPr="009F5801">
        <w:rPr>
          <w:rFonts w:ascii="Times New Roman" w:hAnsi="Times New Roman"/>
          <w:sz w:val="24"/>
          <w:szCs w:val="24"/>
        </w:rPr>
        <w:t>i</w:t>
      </w:r>
      <w:r>
        <w:rPr>
          <w:rFonts w:ascii="Times New Roman" w:hAnsi="Times New Roman"/>
          <w:sz w:val="24"/>
          <w:szCs w:val="24"/>
        </w:rPr>
        <w:t>gh</w:t>
      </w:r>
      <w:r w:rsidRPr="009F5801">
        <w:rPr>
          <w:rFonts w:ascii="Times New Roman" w:hAnsi="Times New Roman"/>
          <w:sz w:val="24"/>
          <w:szCs w:val="24"/>
        </w:rPr>
        <w:t xml:space="preserve"> muscle (20), liver (20) and kidney (20) separately. These samples were screened detected for antibiotic residue</w:t>
      </w:r>
      <w:r>
        <w:rPr>
          <w:rFonts w:ascii="Times New Roman" w:hAnsi="Times New Roman"/>
          <w:sz w:val="24"/>
          <w:szCs w:val="24"/>
        </w:rPr>
        <w:t xml:space="preserve"> in meat by Thin Layer </w:t>
      </w:r>
      <w:r w:rsidRPr="009F5801">
        <w:rPr>
          <w:rFonts w:ascii="Times New Roman" w:hAnsi="Times New Roman"/>
          <w:sz w:val="24"/>
          <w:szCs w:val="24"/>
        </w:rPr>
        <w:t>Chromatography (TLC).</w:t>
      </w:r>
    </w:p>
    <w:p w:rsidR="00BA57AC" w:rsidRPr="002A1253" w:rsidRDefault="00BA57AC" w:rsidP="009F5801">
      <w:pPr>
        <w:pStyle w:val="ListParagraph"/>
        <w:spacing w:after="0" w:line="360" w:lineRule="auto"/>
        <w:rPr>
          <w:rFonts w:ascii="Times New Roman" w:hAnsi="Times New Roman"/>
          <w:sz w:val="12"/>
          <w:szCs w:val="12"/>
        </w:rPr>
      </w:pPr>
    </w:p>
    <w:p w:rsidR="00BA57AC" w:rsidRPr="009F5801" w:rsidRDefault="00BA57AC" w:rsidP="009F5801">
      <w:pPr>
        <w:spacing w:after="0" w:line="360" w:lineRule="auto"/>
        <w:rPr>
          <w:rFonts w:ascii="Times New Roman" w:hAnsi="Times New Roman"/>
          <w:b/>
          <w:sz w:val="28"/>
          <w:szCs w:val="28"/>
        </w:rPr>
      </w:pPr>
      <w:r>
        <w:rPr>
          <w:rFonts w:ascii="Times New Roman" w:hAnsi="Times New Roman"/>
          <w:b/>
          <w:sz w:val="28"/>
          <w:szCs w:val="28"/>
        </w:rPr>
        <w:t xml:space="preserve">2.2  Preparation </w:t>
      </w:r>
      <w:r w:rsidRPr="009F5801">
        <w:rPr>
          <w:rFonts w:ascii="Times New Roman" w:hAnsi="Times New Roman"/>
          <w:b/>
          <w:sz w:val="28"/>
          <w:szCs w:val="28"/>
        </w:rPr>
        <w:t>of Phosphate buffer (pH 6.5)</w:t>
      </w:r>
    </w:p>
    <w:p w:rsidR="00BA57AC" w:rsidRPr="009F5801" w:rsidRDefault="00BA57AC" w:rsidP="009F5801">
      <w:pPr>
        <w:spacing w:after="0" w:line="360" w:lineRule="auto"/>
        <w:jc w:val="both"/>
        <w:rPr>
          <w:rFonts w:ascii="Times New Roman" w:hAnsi="Times New Roman"/>
          <w:sz w:val="24"/>
          <w:szCs w:val="24"/>
        </w:rPr>
      </w:pPr>
      <w:r w:rsidRPr="009F5801">
        <w:rPr>
          <w:rFonts w:ascii="Times New Roman" w:hAnsi="Times New Roman"/>
          <w:sz w:val="24"/>
          <w:szCs w:val="24"/>
        </w:rPr>
        <w:t>For the Preparation of Phosphate buffer solution 1.76 gm Disodium Hydrogen Phosph</w:t>
      </w:r>
      <w:r>
        <w:rPr>
          <w:rFonts w:ascii="Times New Roman" w:hAnsi="Times New Roman"/>
          <w:sz w:val="24"/>
          <w:szCs w:val="24"/>
        </w:rPr>
        <w:t>a</w:t>
      </w:r>
      <w:r w:rsidRPr="009F5801">
        <w:rPr>
          <w:rFonts w:ascii="Times New Roman" w:hAnsi="Times New Roman"/>
          <w:sz w:val="24"/>
          <w:szCs w:val="24"/>
        </w:rPr>
        <w:t xml:space="preserve">te and 2.46 </w:t>
      </w:r>
      <w:r>
        <w:rPr>
          <w:rFonts w:ascii="Times New Roman" w:hAnsi="Times New Roman"/>
          <w:sz w:val="24"/>
          <w:szCs w:val="24"/>
        </w:rPr>
        <w:t xml:space="preserve">gm Sodium Dihydrogen Phosphate </w:t>
      </w:r>
      <w:r w:rsidRPr="009F5801">
        <w:rPr>
          <w:rFonts w:ascii="Times New Roman" w:hAnsi="Times New Roman"/>
          <w:sz w:val="24"/>
          <w:szCs w:val="24"/>
        </w:rPr>
        <w:t>were added with distilled water upto 1000ml.</w:t>
      </w:r>
    </w:p>
    <w:p w:rsidR="00BA57AC" w:rsidRPr="002A1253" w:rsidRDefault="00BA57AC" w:rsidP="009F5801">
      <w:pPr>
        <w:spacing w:after="0" w:line="360" w:lineRule="auto"/>
        <w:jc w:val="both"/>
        <w:rPr>
          <w:rFonts w:ascii="Times New Roman" w:hAnsi="Times New Roman"/>
          <w:sz w:val="12"/>
          <w:szCs w:val="12"/>
        </w:rPr>
      </w:pPr>
    </w:p>
    <w:p w:rsidR="00BA57AC" w:rsidRPr="009F5801" w:rsidRDefault="00BA57AC" w:rsidP="009F5801">
      <w:pPr>
        <w:spacing w:after="0" w:line="360" w:lineRule="auto"/>
        <w:jc w:val="both"/>
        <w:rPr>
          <w:rFonts w:ascii="Times New Roman" w:hAnsi="Times New Roman"/>
          <w:b/>
          <w:sz w:val="28"/>
          <w:szCs w:val="28"/>
        </w:rPr>
      </w:pPr>
      <w:r>
        <w:rPr>
          <w:rFonts w:ascii="Times New Roman" w:hAnsi="Times New Roman"/>
          <w:b/>
          <w:sz w:val="28"/>
          <w:szCs w:val="28"/>
        </w:rPr>
        <w:t>2.3</w:t>
      </w:r>
      <w:r w:rsidRPr="009F5801">
        <w:rPr>
          <w:rFonts w:ascii="Times New Roman" w:hAnsi="Times New Roman"/>
          <w:b/>
          <w:sz w:val="28"/>
          <w:szCs w:val="28"/>
        </w:rPr>
        <w:t xml:space="preserve"> Preparation of 30% Trichloroacetic acid</w:t>
      </w:r>
    </w:p>
    <w:p w:rsidR="00BA57AC" w:rsidRPr="009F5801" w:rsidRDefault="00BA57AC" w:rsidP="009F5801">
      <w:pPr>
        <w:spacing w:after="0" w:line="360" w:lineRule="auto"/>
        <w:jc w:val="both"/>
        <w:rPr>
          <w:rFonts w:ascii="Times New Roman" w:hAnsi="Times New Roman"/>
          <w:sz w:val="24"/>
          <w:szCs w:val="24"/>
        </w:rPr>
      </w:pPr>
      <w:r w:rsidRPr="009F5801">
        <w:rPr>
          <w:rFonts w:ascii="Times New Roman" w:hAnsi="Times New Roman"/>
          <w:sz w:val="24"/>
          <w:szCs w:val="24"/>
        </w:rPr>
        <w:t xml:space="preserve">30 gm of crystal Trichloracetic acid was </w:t>
      </w:r>
      <w:r>
        <w:rPr>
          <w:rFonts w:ascii="Times New Roman" w:hAnsi="Times New Roman"/>
          <w:sz w:val="24"/>
          <w:szCs w:val="24"/>
        </w:rPr>
        <w:t xml:space="preserve">diluted with distilled water </w:t>
      </w:r>
      <w:r w:rsidRPr="009F5801">
        <w:rPr>
          <w:rFonts w:ascii="Times New Roman" w:hAnsi="Times New Roman"/>
          <w:sz w:val="24"/>
          <w:szCs w:val="24"/>
        </w:rPr>
        <w:t>up to 100 ml mark level with proper care.</w:t>
      </w:r>
    </w:p>
    <w:p w:rsidR="00BA57AC" w:rsidRPr="002A1253" w:rsidRDefault="00BA57AC" w:rsidP="009F5801">
      <w:pPr>
        <w:spacing w:after="0" w:line="360" w:lineRule="auto"/>
        <w:jc w:val="both"/>
        <w:rPr>
          <w:rFonts w:ascii="Times New Roman" w:hAnsi="Times New Roman"/>
          <w:sz w:val="12"/>
          <w:szCs w:val="12"/>
        </w:rPr>
      </w:pPr>
    </w:p>
    <w:p w:rsidR="00BA57AC" w:rsidRPr="009F5801" w:rsidRDefault="00BA57AC" w:rsidP="009F5801">
      <w:pPr>
        <w:spacing w:after="0" w:line="360" w:lineRule="auto"/>
        <w:jc w:val="both"/>
        <w:rPr>
          <w:rFonts w:ascii="Times New Roman" w:hAnsi="Times New Roman"/>
          <w:sz w:val="28"/>
          <w:szCs w:val="28"/>
        </w:rPr>
      </w:pPr>
      <w:r>
        <w:rPr>
          <w:rFonts w:ascii="Times New Roman" w:hAnsi="Times New Roman"/>
          <w:b/>
          <w:sz w:val="28"/>
          <w:szCs w:val="28"/>
        </w:rPr>
        <w:t>2.4</w:t>
      </w:r>
      <w:r w:rsidRPr="009F5801">
        <w:rPr>
          <w:rFonts w:ascii="Times New Roman" w:hAnsi="Times New Roman"/>
          <w:b/>
          <w:sz w:val="28"/>
          <w:szCs w:val="28"/>
        </w:rPr>
        <w:t xml:space="preserve">  Silica plates for sample running</w:t>
      </w:r>
    </w:p>
    <w:p w:rsidR="00BA57AC" w:rsidRPr="009F5801" w:rsidRDefault="00BA57AC" w:rsidP="009F5801">
      <w:pPr>
        <w:spacing w:after="0" w:line="360" w:lineRule="auto"/>
        <w:jc w:val="both"/>
        <w:rPr>
          <w:rFonts w:ascii="Times New Roman" w:hAnsi="Times New Roman"/>
          <w:sz w:val="24"/>
          <w:szCs w:val="24"/>
        </w:rPr>
      </w:pPr>
      <w:r w:rsidRPr="009F5801">
        <w:rPr>
          <w:rFonts w:ascii="Times New Roman" w:hAnsi="Times New Roman"/>
          <w:sz w:val="24"/>
          <w:szCs w:val="24"/>
        </w:rPr>
        <w:t xml:space="preserve">TLC Silica plates with 0.25 mm. thickness (Merck, Germany), were activated in 120°C for two hours before use.         </w:t>
      </w:r>
    </w:p>
    <w:p w:rsidR="00BA57AC" w:rsidRPr="002A1253" w:rsidRDefault="00BA57AC" w:rsidP="009F5801">
      <w:pPr>
        <w:spacing w:after="0" w:line="360" w:lineRule="auto"/>
        <w:jc w:val="both"/>
        <w:rPr>
          <w:rFonts w:ascii="Times New Roman" w:hAnsi="Times New Roman"/>
          <w:sz w:val="12"/>
          <w:szCs w:val="12"/>
        </w:rPr>
      </w:pPr>
      <w:r w:rsidRPr="002A1253">
        <w:rPr>
          <w:rFonts w:ascii="Times New Roman" w:hAnsi="Times New Roman"/>
          <w:sz w:val="12"/>
          <w:szCs w:val="12"/>
        </w:rPr>
        <w:t xml:space="preserve">                                                                                       </w:t>
      </w:r>
    </w:p>
    <w:p w:rsidR="00BA57AC" w:rsidRPr="009F5801" w:rsidRDefault="00BA57AC" w:rsidP="009F5801">
      <w:pPr>
        <w:spacing w:after="0" w:line="360" w:lineRule="auto"/>
        <w:jc w:val="both"/>
        <w:rPr>
          <w:rFonts w:ascii="Times New Roman" w:hAnsi="Times New Roman"/>
          <w:b/>
          <w:sz w:val="28"/>
          <w:szCs w:val="28"/>
        </w:rPr>
      </w:pPr>
      <w:r>
        <w:rPr>
          <w:rFonts w:ascii="Times New Roman" w:hAnsi="Times New Roman"/>
          <w:b/>
          <w:sz w:val="28"/>
          <w:szCs w:val="28"/>
        </w:rPr>
        <w:t>2.5</w:t>
      </w:r>
      <w:r w:rsidRPr="009F5801">
        <w:rPr>
          <w:rFonts w:ascii="Times New Roman" w:hAnsi="Times New Roman"/>
          <w:b/>
          <w:sz w:val="28"/>
          <w:szCs w:val="28"/>
        </w:rPr>
        <w:t xml:space="preserve">  Standard preparation and selected antibiotics</w:t>
      </w:r>
    </w:p>
    <w:p w:rsidR="00BA57AC" w:rsidRDefault="00BA57AC" w:rsidP="009F5801">
      <w:pPr>
        <w:spacing w:after="0" w:line="360" w:lineRule="auto"/>
        <w:jc w:val="both"/>
        <w:rPr>
          <w:rFonts w:ascii="Times New Roman" w:hAnsi="Times New Roman"/>
          <w:sz w:val="24"/>
          <w:szCs w:val="24"/>
        </w:rPr>
      </w:pPr>
      <w:r w:rsidRPr="009F5801">
        <w:rPr>
          <w:rFonts w:ascii="Times New Roman" w:hAnsi="Times New Roman"/>
          <w:sz w:val="24"/>
          <w:szCs w:val="24"/>
        </w:rPr>
        <w:t>For comparison of extracted residues with routinely used four antibiotics such as Tetracycline, Amoxicillin, Ciprofloxacin and Sulfanilamide penicillin were prepared by dissolving 0.1 gm of powder/ 0.1 ml of solution in 4 ml methanol.</w:t>
      </w:r>
    </w:p>
    <w:p w:rsidR="00BA57AC" w:rsidRDefault="00BA57AC" w:rsidP="009F5801">
      <w:pPr>
        <w:spacing w:after="0" w:line="360" w:lineRule="auto"/>
        <w:jc w:val="both"/>
        <w:rPr>
          <w:rFonts w:ascii="Times New Roman" w:hAnsi="Times New Roman"/>
          <w:sz w:val="24"/>
          <w:szCs w:val="24"/>
        </w:rPr>
      </w:pPr>
    </w:p>
    <w:p w:rsidR="00BA57AC" w:rsidRDefault="00BA57AC" w:rsidP="009F5801">
      <w:pPr>
        <w:spacing w:after="0" w:line="360" w:lineRule="auto"/>
        <w:jc w:val="both"/>
        <w:rPr>
          <w:rFonts w:ascii="Times New Roman" w:hAnsi="Times New Roman"/>
          <w:sz w:val="24"/>
          <w:szCs w:val="24"/>
        </w:rPr>
      </w:pPr>
    </w:p>
    <w:p w:rsidR="00BA57AC" w:rsidRPr="009F5801" w:rsidRDefault="00BA57AC" w:rsidP="009F5801">
      <w:pPr>
        <w:spacing w:after="0" w:line="360" w:lineRule="auto"/>
        <w:jc w:val="both"/>
        <w:rPr>
          <w:rFonts w:ascii="Times New Roman" w:hAnsi="Times New Roman"/>
          <w:sz w:val="24"/>
          <w:szCs w:val="24"/>
        </w:rPr>
      </w:pPr>
    </w:p>
    <w:p w:rsidR="00BA57AC" w:rsidRPr="009F5801" w:rsidRDefault="00BA57AC" w:rsidP="009F5801">
      <w:pPr>
        <w:spacing w:after="0" w:line="360" w:lineRule="auto"/>
        <w:rPr>
          <w:rFonts w:ascii="Times New Roman" w:hAnsi="Times New Roman"/>
          <w:b/>
          <w:sz w:val="30"/>
          <w:szCs w:val="24"/>
        </w:rPr>
      </w:pPr>
      <w:r>
        <w:rPr>
          <w:rFonts w:ascii="Times New Roman" w:hAnsi="Times New Roman"/>
          <w:b/>
          <w:sz w:val="30"/>
          <w:szCs w:val="24"/>
        </w:rPr>
        <w:t xml:space="preserve">2.6 </w:t>
      </w:r>
      <w:r w:rsidRPr="009F5801">
        <w:rPr>
          <w:rFonts w:ascii="Times New Roman" w:hAnsi="Times New Roman"/>
          <w:b/>
          <w:sz w:val="30"/>
          <w:szCs w:val="24"/>
        </w:rPr>
        <w:t xml:space="preserve"> Method used for Thin Layer Chromatography</w:t>
      </w:r>
    </w:p>
    <w:p w:rsidR="00BA57AC" w:rsidRPr="002A1253" w:rsidRDefault="00BA57AC" w:rsidP="009F5801">
      <w:pPr>
        <w:spacing w:after="0" w:line="360" w:lineRule="auto"/>
        <w:ind w:left="360"/>
        <w:rPr>
          <w:rFonts w:ascii="Times New Roman" w:hAnsi="Times New Roman"/>
          <w:b/>
          <w:i/>
          <w:sz w:val="28"/>
          <w:szCs w:val="28"/>
        </w:rPr>
      </w:pPr>
      <w:r w:rsidRPr="002A1253">
        <w:rPr>
          <w:rFonts w:ascii="Times New Roman" w:hAnsi="Times New Roman"/>
          <w:b/>
          <w:i/>
          <w:sz w:val="28"/>
          <w:szCs w:val="28"/>
        </w:rPr>
        <w:t>2.6.1. Antibiotic Extraction</w:t>
      </w:r>
    </w:p>
    <w:p w:rsidR="00BA57AC" w:rsidRPr="002A1253" w:rsidRDefault="00BA57AC" w:rsidP="009F5801">
      <w:pPr>
        <w:spacing w:after="0" w:line="360" w:lineRule="auto"/>
        <w:ind w:left="360"/>
        <w:jc w:val="both"/>
        <w:rPr>
          <w:rStyle w:val="Emphasis"/>
          <w:rFonts w:ascii="Times New Roman" w:hAnsi="Times New Roman"/>
          <w:sz w:val="24"/>
          <w:szCs w:val="24"/>
        </w:rPr>
      </w:pPr>
      <w:r w:rsidRPr="002A1253">
        <w:rPr>
          <w:rFonts w:ascii="Times New Roman" w:hAnsi="Times New Roman"/>
          <w:sz w:val="24"/>
          <w:szCs w:val="24"/>
        </w:rPr>
        <w:t xml:space="preserve"> For the detection of antibiotic by</w:t>
      </w:r>
      <w:r w:rsidRPr="002A1253">
        <w:rPr>
          <w:rFonts w:ascii="Times New Roman" w:hAnsi="Times New Roman"/>
          <w:b/>
          <w:sz w:val="24"/>
          <w:szCs w:val="24"/>
        </w:rPr>
        <w:t xml:space="preserve"> </w:t>
      </w:r>
      <w:r w:rsidRPr="002A1253">
        <w:rPr>
          <w:rFonts w:ascii="Times New Roman" w:hAnsi="Times New Roman"/>
          <w:sz w:val="24"/>
          <w:szCs w:val="24"/>
        </w:rPr>
        <w:t xml:space="preserve">Thin Layer Chromatography, these samples were stored in deep fridges at -20°C until further advanced procedures were performed. Samples (Muscle tissue, Liver and Kidney) were blended with a food processor (Macro Food Processor) properly for three to five minutes. Running of blender was continued for one minute and a pause of five to eight seconds followed by running again. This technique was repeated until tissues were blended properly. These mashed/ blended samples were taken into properly cleaned and sterilized petridishes with proper care as well as covering. From this 4 gm of aliquoted sample was taken into beaker with the help of electric balance and spatula. Then homogenization was done with addition of 10 ml phosphate (pH 6.5). After proper mixing, protein content of these samples were precipitated with the addition of 2 ml Trichloroacetic acid (30%) maintaining sufficient care and attention. Then these mixtures samples were taken into properly cleaned and sterilized test tubes for centrifugation. Then centrifugation was done / performed at 3000 rpm for 25 minutes with the help of automatically time regulated centrifuged machine (Labofuge, 200). 2 ml supernatant was mixed with 100 µL of formaldehyde for 45 minutes at 100°C water bath. The supernatant was extracted with equal volume of diethyl ether and mixing was done properly in order to perform defatation. Then mixture was kept for 10 minutes to become a separate layer, a upper oily layer and bottom layer. Then by using cleaned and sterilized separating funnel, these mixture were separated from each other and upper oily layer was discarded but only the bottom layer was collected. This extraction of supernatant was repeated twice with diethyl ether. Then the extracts were evaporated until dryness. The dried sample was reconstituted within 2 ml of mobile phase methanol, acetone (1:1). Then, Extracts were collected into screw cap vial with proper care and kept into refrigerator for further advanced analysis. Total procedure was performed as the reference cited by Popelka </w:t>
      </w:r>
      <w:r w:rsidRPr="002A1253">
        <w:rPr>
          <w:rStyle w:val="Emphasis"/>
          <w:rFonts w:ascii="Times New Roman" w:hAnsi="Times New Roman"/>
          <w:sz w:val="24"/>
          <w:szCs w:val="24"/>
        </w:rPr>
        <w:t xml:space="preserve"> </w:t>
      </w:r>
      <w:r>
        <w:rPr>
          <w:rStyle w:val="Emphasis"/>
          <w:rFonts w:ascii="Times New Roman" w:hAnsi="Times New Roman"/>
          <w:i w:val="0"/>
          <w:sz w:val="24"/>
          <w:szCs w:val="24"/>
        </w:rPr>
        <w:t>et al.,</w:t>
      </w:r>
      <w:r w:rsidRPr="002A1253">
        <w:rPr>
          <w:rStyle w:val="Emphasis"/>
          <w:rFonts w:ascii="Times New Roman" w:hAnsi="Times New Roman"/>
          <w:sz w:val="24"/>
          <w:szCs w:val="24"/>
        </w:rPr>
        <w:t xml:space="preserve"> </w:t>
      </w:r>
      <w:r w:rsidRPr="002A1253">
        <w:rPr>
          <w:rStyle w:val="Emphasis"/>
          <w:rFonts w:ascii="Times New Roman" w:hAnsi="Times New Roman"/>
          <w:i w:val="0"/>
          <w:sz w:val="24"/>
          <w:szCs w:val="24"/>
        </w:rPr>
        <w:t>(2005).</w:t>
      </w:r>
    </w:p>
    <w:p w:rsidR="00BA57AC" w:rsidRDefault="00BA57AC" w:rsidP="009F5801">
      <w:pPr>
        <w:spacing w:after="0" w:line="360" w:lineRule="auto"/>
        <w:ind w:left="360"/>
        <w:jc w:val="both"/>
        <w:rPr>
          <w:rStyle w:val="SubtleEmphasis"/>
          <w:rFonts w:ascii="Times New Roman" w:hAnsi="Times New Roman"/>
          <w:i w:val="0"/>
          <w:color w:val="auto"/>
          <w:sz w:val="24"/>
          <w:szCs w:val="24"/>
        </w:rPr>
      </w:pPr>
      <w:r w:rsidRPr="009F5801">
        <w:rPr>
          <w:rStyle w:val="SubtleEmphasis"/>
          <w:rFonts w:ascii="Times New Roman" w:hAnsi="Times New Roman"/>
          <w:i w:val="0"/>
          <w:color w:val="auto"/>
          <w:sz w:val="24"/>
          <w:szCs w:val="24"/>
        </w:rPr>
        <w:t>In order to performance of Thin Layer Chromatography (T</w:t>
      </w:r>
      <w:r>
        <w:rPr>
          <w:rStyle w:val="SubtleEmphasis"/>
          <w:rFonts w:ascii="Times New Roman" w:hAnsi="Times New Roman"/>
          <w:i w:val="0"/>
          <w:color w:val="auto"/>
          <w:sz w:val="24"/>
          <w:szCs w:val="24"/>
        </w:rPr>
        <w:t>LC) along with stationary phase</w:t>
      </w:r>
      <w:r w:rsidRPr="009F5801">
        <w:rPr>
          <w:rStyle w:val="SubtleEmphasis"/>
          <w:rFonts w:ascii="Times New Roman" w:hAnsi="Times New Roman"/>
          <w:i w:val="0"/>
          <w:color w:val="auto"/>
          <w:sz w:val="24"/>
          <w:szCs w:val="24"/>
        </w:rPr>
        <w:t xml:space="preserve">, a mobile phase or solvent preparation was done as directed in the references (Thangadu </w:t>
      </w:r>
      <w:r>
        <w:rPr>
          <w:rStyle w:val="SubtleEmphasis"/>
          <w:rFonts w:ascii="Times New Roman" w:hAnsi="Times New Roman"/>
          <w:i w:val="0"/>
          <w:color w:val="auto"/>
          <w:sz w:val="24"/>
          <w:szCs w:val="24"/>
        </w:rPr>
        <w:t xml:space="preserve">et al., </w:t>
      </w:r>
      <w:r w:rsidRPr="009F5801">
        <w:rPr>
          <w:rStyle w:val="SubtleEmphasis"/>
          <w:rFonts w:ascii="Times New Roman" w:hAnsi="Times New Roman"/>
          <w:i w:val="0"/>
          <w:color w:val="auto"/>
          <w:sz w:val="24"/>
          <w:szCs w:val="24"/>
        </w:rPr>
        <w:t>2002). Here 50 ml of methanol and 50 ml of acetone was mixed properly and was use as mobile phase.</w:t>
      </w:r>
    </w:p>
    <w:p w:rsidR="00BA57AC" w:rsidRPr="000631F7" w:rsidRDefault="00BA57AC" w:rsidP="000631F7">
      <w:pPr>
        <w:tabs>
          <w:tab w:val="left" w:pos="806"/>
        </w:tabs>
        <w:spacing w:after="0" w:line="360" w:lineRule="auto"/>
        <w:ind w:left="360"/>
        <w:rPr>
          <w:rStyle w:val="SubtleEmphasis"/>
          <w:rFonts w:ascii="Times New Roman" w:hAnsi="Times New Roman"/>
          <w:i w:val="0"/>
          <w:color w:val="auto"/>
          <w:sz w:val="8"/>
          <w:szCs w:val="8"/>
        </w:rPr>
      </w:pPr>
      <w:r w:rsidRPr="000631F7">
        <w:rPr>
          <w:rStyle w:val="SubtleEmphasis"/>
          <w:rFonts w:ascii="Times New Roman" w:hAnsi="Times New Roman"/>
          <w:i w:val="0"/>
          <w:color w:val="auto"/>
          <w:sz w:val="8"/>
          <w:szCs w:val="8"/>
        </w:rPr>
        <w:tab/>
      </w:r>
    </w:p>
    <w:p w:rsidR="00BA57AC" w:rsidRPr="002A1253" w:rsidRDefault="00BA57AC" w:rsidP="009F5801">
      <w:pPr>
        <w:spacing w:after="0" w:line="360" w:lineRule="auto"/>
        <w:ind w:left="360"/>
        <w:rPr>
          <w:rStyle w:val="SubtleEmphasis"/>
          <w:rFonts w:ascii="Times New Roman" w:hAnsi="Times New Roman"/>
          <w:b/>
          <w:color w:val="auto"/>
          <w:sz w:val="28"/>
          <w:szCs w:val="28"/>
        </w:rPr>
      </w:pPr>
      <w:r w:rsidRPr="002A1253">
        <w:rPr>
          <w:rStyle w:val="SubtleEmphasis"/>
          <w:rFonts w:ascii="Times New Roman" w:hAnsi="Times New Roman"/>
          <w:b/>
          <w:color w:val="auto"/>
          <w:sz w:val="28"/>
          <w:szCs w:val="28"/>
        </w:rPr>
        <w:t xml:space="preserve">2.6.2 Pointing of Thin Layer Chromatography plate </w:t>
      </w:r>
    </w:p>
    <w:p w:rsidR="00BA57AC" w:rsidRDefault="00BA57AC" w:rsidP="002A1253">
      <w:pPr>
        <w:spacing w:after="0" w:line="360" w:lineRule="auto"/>
        <w:ind w:left="360"/>
        <w:jc w:val="both"/>
        <w:rPr>
          <w:rStyle w:val="SubtleEmphasis"/>
          <w:rFonts w:ascii="Times New Roman" w:hAnsi="Times New Roman"/>
          <w:i w:val="0"/>
          <w:color w:val="auto"/>
          <w:sz w:val="24"/>
          <w:szCs w:val="24"/>
        </w:rPr>
      </w:pPr>
      <w:r w:rsidRPr="009F5801">
        <w:rPr>
          <w:rStyle w:val="SubtleEmphasis"/>
          <w:rFonts w:ascii="Times New Roman" w:hAnsi="Times New Roman"/>
          <w:i w:val="0"/>
          <w:color w:val="auto"/>
          <w:sz w:val="24"/>
          <w:szCs w:val="24"/>
        </w:rPr>
        <w:t>TLC plates were cut according to the shape of TLC tank with scissors. At first a line was drawn with the help of a pencil and scale as much above of the solve</w:t>
      </w:r>
      <w:r>
        <w:rPr>
          <w:rStyle w:val="SubtleEmphasis"/>
          <w:rFonts w:ascii="Times New Roman" w:hAnsi="Times New Roman"/>
          <w:i w:val="0"/>
          <w:color w:val="auto"/>
          <w:sz w:val="24"/>
          <w:szCs w:val="24"/>
        </w:rPr>
        <w:t>nt. Then pointing of standard sol</w:t>
      </w:r>
      <w:r w:rsidRPr="009F5801">
        <w:rPr>
          <w:rStyle w:val="SubtleEmphasis"/>
          <w:rFonts w:ascii="Times New Roman" w:hAnsi="Times New Roman"/>
          <w:i w:val="0"/>
          <w:color w:val="auto"/>
          <w:sz w:val="24"/>
          <w:szCs w:val="24"/>
        </w:rPr>
        <w:t>ution was done with capillary tube on this line</w:t>
      </w:r>
      <w:r>
        <w:rPr>
          <w:rStyle w:val="SubtleEmphasis"/>
          <w:rFonts w:ascii="Times New Roman" w:hAnsi="Times New Roman"/>
          <w:i w:val="0"/>
          <w:color w:val="auto"/>
          <w:sz w:val="24"/>
          <w:szCs w:val="24"/>
        </w:rPr>
        <w:t xml:space="preserve"> 2cm distance from each other. </w:t>
      </w:r>
      <w:r w:rsidRPr="009F5801">
        <w:rPr>
          <w:rStyle w:val="SubtleEmphasis"/>
          <w:rFonts w:ascii="Times New Roman" w:hAnsi="Times New Roman"/>
          <w:i w:val="0"/>
          <w:color w:val="auto"/>
          <w:sz w:val="24"/>
          <w:szCs w:val="24"/>
        </w:rPr>
        <w:t>All spots had dried up plates were placed in the</w:t>
      </w:r>
      <w:r>
        <w:rPr>
          <w:rStyle w:val="SubtleEmphasis"/>
          <w:rFonts w:ascii="Times New Roman" w:hAnsi="Times New Roman"/>
          <w:i w:val="0"/>
          <w:color w:val="auto"/>
          <w:sz w:val="24"/>
          <w:szCs w:val="24"/>
        </w:rPr>
        <w:t xml:space="preserve"> </w:t>
      </w:r>
      <w:r w:rsidRPr="009F5801">
        <w:rPr>
          <w:rStyle w:val="SubtleEmphasis"/>
          <w:rFonts w:ascii="Times New Roman" w:hAnsi="Times New Roman"/>
          <w:i w:val="0"/>
          <w:color w:val="auto"/>
          <w:sz w:val="24"/>
          <w:szCs w:val="24"/>
        </w:rPr>
        <w:t>TLC tank and allowed for running.</w:t>
      </w:r>
    </w:p>
    <w:p w:rsidR="00BA57AC" w:rsidRPr="000631F7" w:rsidRDefault="00BA57AC" w:rsidP="009F5801">
      <w:pPr>
        <w:spacing w:after="0" w:line="360" w:lineRule="auto"/>
        <w:ind w:left="360"/>
        <w:rPr>
          <w:rStyle w:val="SubtleEmphasis"/>
          <w:rFonts w:ascii="Times New Roman" w:hAnsi="Times New Roman"/>
          <w:i w:val="0"/>
          <w:color w:val="auto"/>
          <w:sz w:val="10"/>
          <w:szCs w:val="10"/>
        </w:rPr>
      </w:pPr>
    </w:p>
    <w:p w:rsidR="00BA57AC" w:rsidRPr="002A1253" w:rsidRDefault="00BA57AC" w:rsidP="009F5801">
      <w:pPr>
        <w:spacing w:after="0" w:line="360" w:lineRule="auto"/>
        <w:ind w:left="360"/>
        <w:jc w:val="both"/>
        <w:rPr>
          <w:rStyle w:val="SubtleEmphasis"/>
          <w:rFonts w:ascii="Times New Roman" w:hAnsi="Times New Roman"/>
          <w:b/>
          <w:color w:val="auto"/>
          <w:sz w:val="28"/>
          <w:szCs w:val="28"/>
        </w:rPr>
      </w:pPr>
      <w:r w:rsidRPr="002A1253">
        <w:rPr>
          <w:rStyle w:val="SubtleEmphasis"/>
          <w:rFonts w:ascii="Times New Roman" w:hAnsi="Times New Roman"/>
          <w:b/>
          <w:color w:val="auto"/>
          <w:sz w:val="28"/>
          <w:szCs w:val="28"/>
        </w:rPr>
        <w:t>2.6.3 Running of TLC</w:t>
      </w:r>
    </w:p>
    <w:p w:rsidR="00BA57AC" w:rsidRPr="00031A24" w:rsidRDefault="00BA57AC" w:rsidP="009F5801">
      <w:pPr>
        <w:spacing w:after="0" w:line="360" w:lineRule="auto"/>
        <w:ind w:left="360"/>
        <w:jc w:val="both"/>
        <w:rPr>
          <w:rStyle w:val="SubtleEmphasis"/>
          <w:rFonts w:ascii="Times New Roman" w:hAnsi="Times New Roman"/>
          <w:i w:val="0"/>
          <w:color w:val="auto"/>
          <w:sz w:val="24"/>
          <w:szCs w:val="24"/>
        </w:rPr>
      </w:pPr>
      <w:r w:rsidRPr="00031A24">
        <w:rPr>
          <w:rStyle w:val="SubtleEmphasis"/>
          <w:rFonts w:ascii="Times New Roman" w:hAnsi="Times New Roman"/>
          <w:i w:val="0"/>
          <w:color w:val="auto"/>
          <w:sz w:val="24"/>
          <w:szCs w:val="24"/>
        </w:rPr>
        <w:t xml:space="preserve">For ensuring this study perfectly continuous development of chromatogram was done. The duration of mobile phase to run was one (1) hour for each plate placed in the TLC tank. </w:t>
      </w:r>
    </w:p>
    <w:p w:rsidR="00BA57AC" w:rsidRPr="00031A24" w:rsidRDefault="00BA57AC" w:rsidP="009F5801">
      <w:pPr>
        <w:spacing w:after="0" w:line="360" w:lineRule="auto"/>
        <w:ind w:left="360"/>
        <w:jc w:val="both"/>
        <w:rPr>
          <w:rStyle w:val="SubtleEmphasis"/>
          <w:rFonts w:ascii="Times New Roman" w:hAnsi="Times New Roman"/>
          <w:i w:val="0"/>
          <w:color w:val="auto"/>
          <w:sz w:val="6"/>
          <w:szCs w:val="6"/>
        </w:rPr>
      </w:pPr>
    </w:p>
    <w:p w:rsidR="00BA57AC" w:rsidRPr="002A1253" w:rsidRDefault="00BA57AC" w:rsidP="009F5801">
      <w:pPr>
        <w:spacing w:after="0" w:line="360" w:lineRule="auto"/>
        <w:ind w:firstLine="360"/>
        <w:rPr>
          <w:rStyle w:val="SubtleEmphasis"/>
          <w:rFonts w:ascii="Times New Roman" w:hAnsi="Times New Roman"/>
          <w:b/>
          <w:color w:val="auto"/>
          <w:sz w:val="28"/>
          <w:szCs w:val="28"/>
        </w:rPr>
      </w:pPr>
      <w:r w:rsidRPr="002A1253">
        <w:rPr>
          <w:rStyle w:val="SubtleEmphasis"/>
          <w:rFonts w:ascii="Times New Roman" w:hAnsi="Times New Roman"/>
          <w:b/>
          <w:color w:val="auto"/>
          <w:sz w:val="28"/>
          <w:szCs w:val="28"/>
        </w:rPr>
        <w:t>2.6.4 Examination of Chromatogram under UV detector</w:t>
      </w:r>
    </w:p>
    <w:p w:rsidR="00BA57AC" w:rsidRDefault="00BA57AC" w:rsidP="000631F7">
      <w:pPr>
        <w:spacing w:after="0" w:line="360" w:lineRule="auto"/>
        <w:ind w:left="360"/>
        <w:jc w:val="both"/>
        <w:rPr>
          <w:rStyle w:val="SubtleEmphasis"/>
          <w:rFonts w:ascii="Times New Roman" w:hAnsi="Times New Roman"/>
          <w:i w:val="0"/>
          <w:color w:val="auto"/>
          <w:sz w:val="24"/>
          <w:szCs w:val="24"/>
        </w:rPr>
      </w:pPr>
      <w:r w:rsidRPr="009F5801">
        <w:rPr>
          <w:rStyle w:val="SubtleEmphasis"/>
          <w:rFonts w:ascii="Times New Roman" w:hAnsi="Times New Roman"/>
          <w:i w:val="0"/>
          <w:color w:val="auto"/>
          <w:sz w:val="24"/>
          <w:szCs w:val="24"/>
        </w:rPr>
        <w:t xml:space="preserve">In this TLC, the chromatogram was examined under the ultraviolet lamp at 256 nm for spots i.e., spot that fluorescenced. The outline of the spot was marked with a series of dots using a sharp pencil. </w:t>
      </w:r>
    </w:p>
    <w:p w:rsidR="00BA57AC" w:rsidRPr="00031A24" w:rsidRDefault="00BA57AC" w:rsidP="009F5801">
      <w:pPr>
        <w:spacing w:after="0" w:line="360" w:lineRule="auto"/>
        <w:ind w:left="360"/>
        <w:rPr>
          <w:rStyle w:val="SubtleEmphasis"/>
          <w:rFonts w:ascii="Times New Roman" w:hAnsi="Times New Roman"/>
          <w:i w:val="0"/>
          <w:color w:val="auto"/>
          <w:sz w:val="6"/>
          <w:szCs w:val="6"/>
        </w:rPr>
      </w:pPr>
    </w:p>
    <w:p w:rsidR="00BA57AC" w:rsidRPr="002A1253" w:rsidRDefault="00BA57AC" w:rsidP="009F5801">
      <w:pPr>
        <w:spacing w:after="0" w:line="360" w:lineRule="auto"/>
        <w:ind w:left="360"/>
        <w:rPr>
          <w:rStyle w:val="SubtleEmphasis"/>
          <w:rFonts w:ascii="Times New Roman" w:hAnsi="Times New Roman"/>
          <w:b/>
          <w:color w:val="auto"/>
          <w:sz w:val="28"/>
          <w:szCs w:val="28"/>
        </w:rPr>
      </w:pPr>
      <w:r>
        <w:rPr>
          <w:rStyle w:val="SubtleEmphasis"/>
          <w:rFonts w:ascii="Times New Roman" w:hAnsi="Times New Roman"/>
          <w:b/>
          <w:color w:val="auto"/>
          <w:sz w:val="28"/>
          <w:szCs w:val="28"/>
        </w:rPr>
        <w:t xml:space="preserve">2.6.5 </w:t>
      </w:r>
      <w:r w:rsidRPr="002A1253">
        <w:rPr>
          <w:rStyle w:val="SubtleEmphasis"/>
          <w:rFonts w:ascii="Times New Roman" w:hAnsi="Times New Roman"/>
          <w:b/>
          <w:color w:val="auto"/>
          <w:sz w:val="28"/>
          <w:szCs w:val="28"/>
        </w:rPr>
        <w:t>Determination of RF (Retardation factor) value</w:t>
      </w:r>
    </w:p>
    <w:p w:rsidR="00BA57AC" w:rsidRPr="009F5801" w:rsidRDefault="00BA57AC" w:rsidP="009F5801">
      <w:pPr>
        <w:spacing w:after="0" w:line="360" w:lineRule="auto"/>
        <w:ind w:left="360"/>
        <w:jc w:val="both"/>
        <w:rPr>
          <w:rStyle w:val="SubtleEmphasis"/>
          <w:rFonts w:ascii="Times New Roman" w:hAnsi="Times New Roman"/>
          <w:i w:val="0"/>
          <w:color w:val="auto"/>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35.55pt;margin-top:15.55pt;width:175.9pt;height:29.95pt;z-index:-251658240;visibility:visible">
            <v:imagedata r:id="rId7" o:title="" croptop="10735f" cropbottom="10425f"/>
          </v:shape>
        </w:pict>
      </w:r>
      <w:r w:rsidRPr="009F5801">
        <w:rPr>
          <w:rStyle w:val="SubtleEmphasis"/>
          <w:rFonts w:ascii="Times New Roman" w:hAnsi="Times New Roman"/>
          <w:i w:val="0"/>
          <w:color w:val="auto"/>
          <w:sz w:val="24"/>
          <w:szCs w:val="24"/>
        </w:rPr>
        <w:t>The calculation of RF values was done using the following equation:</w:t>
      </w:r>
    </w:p>
    <w:p w:rsidR="00BA57AC" w:rsidRPr="000631F7" w:rsidRDefault="00BA57AC" w:rsidP="000631F7">
      <w:pPr>
        <w:spacing w:after="0" w:line="360" w:lineRule="auto"/>
        <w:ind w:left="360"/>
        <w:jc w:val="center"/>
        <w:rPr>
          <w:rStyle w:val="SubtleEmphasis"/>
          <w:rFonts w:ascii="Times New Roman" w:hAnsi="Times New Roman"/>
          <w:i w:val="0"/>
          <w:color w:val="auto"/>
          <w:sz w:val="24"/>
          <w:szCs w:val="24"/>
        </w:rPr>
      </w:pPr>
    </w:p>
    <w:p w:rsidR="00BA57AC" w:rsidRPr="002A1253" w:rsidRDefault="00BA57AC" w:rsidP="009F5801">
      <w:pPr>
        <w:spacing w:after="0" w:line="360" w:lineRule="auto"/>
        <w:ind w:left="360"/>
        <w:jc w:val="both"/>
        <w:rPr>
          <w:rStyle w:val="SubtleEmphasis"/>
          <w:rFonts w:ascii="Times New Roman" w:hAnsi="Times New Roman"/>
          <w:b/>
          <w:color w:val="auto"/>
          <w:sz w:val="28"/>
          <w:szCs w:val="28"/>
        </w:rPr>
      </w:pPr>
      <w:r w:rsidRPr="002A1253">
        <w:rPr>
          <w:rStyle w:val="SubtleEmphasis"/>
          <w:rFonts w:ascii="Times New Roman" w:hAnsi="Times New Roman"/>
          <w:b/>
          <w:color w:val="auto"/>
          <w:sz w:val="28"/>
          <w:szCs w:val="28"/>
        </w:rPr>
        <w:t>2.6.6 Data Collection</w:t>
      </w:r>
    </w:p>
    <w:p w:rsidR="00BA57AC" w:rsidRDefault="00BA57AC" w:rsidP="009F5801">
      <w:pPr>
        <w:spacing w:after="0" w:line="360" w:lineRule="auto"/>
        <w:ind w:left="360"/>
        <w:jc w:val="both"/>
        <w:rPr>
          <w:rStyle w:val="SubtleEmphasis"/>
          <w:rFonts w:ascii="Times New Roman" w:hAnsi="Times New Roman"/>
          <w:i w:val="0"/>
          <w:color w:val="auto"/>
          <w:sz w:val="24"/>
          <w:szCs w:val="24"/>
        </w:rPr>
      </w:pPr>
      <w:r w:rsidRPr="009F5801">
        <w:rPr>
          <w:rStyle w:val="SubtleEmphasis"/>
          <w:rFonts w:ascii="Times New Roman" w:hAnsi="Times New Roman"/>
          <w:i w:val="0"/>
          <w:color w:val="auto"/>
          <w:sz w:val="24"/>
          <w:szCs w:val="24"/>
        </w:rPr>
        <w:t>All information regarding questionnaire and results of the above mentioned test was kept systematically and well organized form over the study period.</w:t>
      </w:r>
    </w:p>
    <w:p w:rsidR="00BA57AC" w:rsidRDefault="00BA57AC" w:rsidP="009F5801">
      <w:pPr>
        <w:spacing w:after="0" w:line="360" w:lineRule="auto"/>
        <w:ind w:left="360"/>
        <w:jc w:val="both"/>
        <w:rPr>
          <w:rStyle w:val="SubtleEmphasis"/>
          <w:rFonts w:ascii="Times New Roman" w:hAnsi="Times New Roman"/>
          <w:i w:val="0"/>
          <w:color w:val="auto"/>
          <w:sz w:val="2"/>
          <w:szCs w:val="24"/>
        </w:rPr>
      </w:pPr>
    </w:p>
    <w:p w:rsidR="00BA57AC" w:rsidRDefault="00BA57AC" w:rsidP="009F5801">
      <w:pPr>
        <w:spacing w:after="0" w:line="360" w:lineRule="auto"/>
        <w:ind w:left="360"/>
        <w:jc w:val="both"/>
        <w:rPr>
          <w:rStyle w:val="SubtleEmphasis"/>
          <w:rFonts w:ascii="Times New Roman" w:hAnsi="Times New Roman"/>
          <w:i w:val="0"/>
          <w:color w:val="auto"/>
          <w:sz w:val="2"/>
          <w:szCs w:val="24"/>
        </w:rPr>
      </w:pPr>
    </w:p>
    <w:p w:rsidR="00BA57AC" w:rsidRDefault="00BA57AC" w:rsidP="009F5801">
      <w:pPr>
        <w:spacing w:after="0" w:line="360" w:lineRule="auto"/>
        <w:ind w:left="360"/>
        <w:jc w:val="both"/>
        <w:rPr>
          <w:rStyle w:val="SubtleEmphasis"/>
          <w:rFonts w:ascii="Times New Roman" w:hAnsi="Times New Roman"/>
          <w:i w:val="0"/>
          <w:color w:val="auto"/>
          <w:sz w:val="2"/>
          <w:szCs w:val="24"/>
        </w:rPr>
      </w:pPr>
    </w:p>
    <w:p w:rsidR="00BA57AC" w:rsidRPr="000631F7" w:rsidRDefault="00BA57AC" w:rsidP="009F5801">
      <w:pPr>
        <w:spacing w:after="0" w:line="360" w:lineRule="auto"/>
        <w:ind w:left="360"/>
        <w:jc w:val="both"/>
        <w:rPr>
          <w:rStyle w:val="SubtleEmphasis"/>
          <w:rFonts w:ascii="Times New Roman" w:hAnsi="Times New Roman"/>
          <w:i w:val="0"/>
          <w:color w:val="auto"/>
          <w:sz w:val="2"/>
          <w:szCs w:val="24"/>
        </w:rPr>
      </w:pPr>
    </w:p>
    <w:p w:rsidR="00BA57AC" w:rsidRPr="000631F7" w:rsidRDefault="00BA57AC" w:rsidP="000631F7">
      <w:pPr>
        <w:spacing w:after="0" w:line="360" w:lineRule="auto"/>
        <w:jc w:val="both"/>
        <w:rPr>
          <w:rStyle w:val="SubtleEmphasis"/>
          <w:rFonts w:ascii="Times New Roman" w:hAnsi="Times New Roman"/>
          <w:b/>
          <w:color w:val="auto"/>
          <w:sz w:val="2"/>
          <w:szCs w:val="10"/>
        </w:rPr>
      </w:pPr>
    </w:p>
    <w:p w:rsidR="00BA57AC" w:rsidRPr="002A1253" w:rsidRDefault="00BA57AC" w:rsidP="009F5801">
      <w:pPr>
        <w:spacing w:after="0" w:line="360" w:lineRule="auto"/>
        <w:ind w:left="360"/>
        <w:jc w:val="both"/>
        <w:rPr>
          <w:rStyle w:val="SubtleEmphasis"/>
          <w:rFonts w:ascii="Times New Roman" w:hAnsi="Times New Roman"/>
          <w:b/>
          <w:color w:val="auto"/>
          <w:sz w:val="28"/>
          <w:szCs w:val="28"/>
        </w:rPr>
      </w:pPr>
      <w:r w:rsidRPr="002A1253">
        <w:rPr>
          <w:rStyle w:val="SubtleEmphasis"/>
          <w:rFonts w:ascii="Times New Roman" w:hAnsi="Times New Roman"/>
          <w:b/>
          <w:color w:val="auto"/>
          <w:sz w:val="28"/>
          <w:szCs w:val="28"/>
        </w:rPr>
        <w:t>2.6.7 Statistical Analysis</w:t>
      </w:r>
    </w:p>
    <w:p w:rsidR="00BA57AC" w:rsidRPr="009F5801" w:rsidRDefault="00BA57AC" w:rsidP="000631F7">
      <w:pPr>
        <w:spacing w:after="0" w:line="360" w:lineRule="auto"/>
        <w:ind w:left="360"/>
        <w:jc w:val="both"/>
        <w:rPr>
          <w:rFonts w:ascii="Times New Roman" w:hAnsi="Times New Roman"/>
          <w:szCs w:val="24"/>
        </w:rPr>
      </w:pPr>
      <w:r w:rsidRPr="009F5801">
        <w:rPr>
          <w:rStyle w:val="SubtleEmphasis"/>
          <w:rFonts w:ascii="Times New Roman" w:hAnsi="Times New Roman"/>
          <w:i w:val="0"/>
          <w:color w:val="auto"/>
          <w:sz w:val="24"/>
          <w:szCs w:val="24"/>
        </w:rPr>
        <w:t>The obtained data were entered into MS Excel-2007 and exported to STATA 9.0 for data analysis.</w:t>
      </w:r>
    </w:p>
    <w:sectPr w:rsidR="00BA57AC" w:rsidRPr="009F5801" w:rsidSect="0017279B">
      <w:headerReference w:type="default" r:id="rId8"/>
      <w:pgSz w:w="12240" w:h="15840" w:code="1"/>
      <w:pgMar w:top="1985" w:right="1701" w:bottom="1701" w:left="1985"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AC" w:rsidRDefault="00BA57AC" w:rsidP="00815C93">
      <w:pPr>
        <w:spacing w:after="0" w:line="240" w:lineRule="auto"/>
      </w:pPr>
      <w:r>
        <w:separator/>
      </w:r>
    </w:p>
  </w:endnote>
  <w:endnote w:type="continuationSeparator" w:id="0">
    <w:p w:rsidR="00BA57AC" w:rsidRDefault="00BA57AC" w:rsidP="00815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AC" w:rsidRDefault="00BA57AC" w:rsidP="00815C93">
      <w:pPr>
        <w:spacing w:after="0" w:line="240" w:lineRule="auto"/>
      </w:pPr>
      <w:r>
        <w:separator/>
      </w:r>
    </w:p>
  </w:footnote>
  <w:footnote w:type="continuationSeparator" w:id="0">
    <w:p w:rsidR="00BA57AC" w:rsidRDefault="00BA57AC" w:rsidP="00815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AC" w:rsidRDefault="00BA57AC">
    <w:pPr>
      <w:pStyle w:val="Header"/>
      <w:jc w:val="right"/>
    </w:pPr>
    <w:fldSimple w:instr=" PAGE   \* MERGEFORMAT ">
      <w:r>
        <w:rPr>
          <w:noProof/>
        </w:rPr>
        <w:t>7</w:t>
      </w:r>
    </w:fldSimple>
  </w:p>
  <w:p w:rsidR="00BA57AC" w:rsidRDefault="00BA5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0FC5"/>
    <w:multiLevelType w:val="hybridMultilevel"/>
    <w:tmpl w:val="86BA1A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277"/>
    <w:rsid w:val="00031A24"/>
    <w:rsid w:val="000631F7"/>
    <w:rsid w:val="000755ED"/>
    <w:rsid w:val="000B6A03"/>
    <w:rsid w:val="0010719F"/>
    <w:rsid w:val="00144C9D"/>
    <w:rsid w:val="00151D34"/>
    <w:rsid w:val="001642CD"/>
    <w:rsid w:val="0017279B"/>
    <w:rsid w:val="00184683"/>
    <w:rsid w:val="00206752"/>
    <w:rsid w:val="00236287"/>
    <w:rsid w:val="00256284"/>
    <w:rsid w:val="00283B1C"/>
    <w:rsid w:val="002A1253"/>
    <w:rsid w:val="002C24C5"/>
    <w:rsid w:val="002E7CC2"/>
    <w:rsid w:val="002F0CFE"/>
    <w:rsid w:val="00371E57"/>
    <w:rsid w:val="003737D3"/>
    <w:rsid w:val="00386C66"/>
    <w:rsid w:val="003C2F93"/>
    <w:rsid w:val="003C549A"/>
    <w:rsid w:val="003E268A"/>
    <w:rsid w:val="003F72A1"/>
    <w:rsid w:val="00412696"/>
    <w:rsid w:val="00455087"/>
    <w:rsid w:val="004705BD"/>
    <w:rsid w:val="00485123"/>
    <w:rsid w:val="00486969"/>
    <w:rsid w:val="00557CA3"/>
    <w:rsid w:val="00595C33"/>
    <w:rsid w:val="00597219"/>
    <w:rsid w:val="00601003"/>
    <w:rsid w:val="006451D8"/>
    <w:rsid w:val="00682E9C"/>
    <w:rsid w:val="00705474"/>
    <w:rsid w:val="00755CCC"/>
    <w:rsid w:val="0076576D"/>
    <w:rsid w:val="00782C10"/>
    <w:rsid w:val="00800A4A"/>
    <w:rsid w:val="00811D34"/>
    <w:rsid w:val="00815C93"/>
    <w:rsid w:val="008E0011"/>
    <w:rsid w:val="00912EB6"/>
    <w:rsid w:val="00944A08"/>
    <w:rsid w:val="009866BF"/>
    <w:rsid w:val="009F5801"/>
    <w:rsid w:val="00A16DBE"/>
    <w:rsid w:val="00A4134F"/>
    <w:rsid w:val="00AC0204"/>
    <w:rsid w:val="00B25595"/>
    <w:rsid w:val="00B474EF"/>
    <w:rsid w:val="00BA57AC"/>
    <w:rsid w:val="00BA5FF0"/>
    <w:rsid w:val="00BB5202"/>
    <w:rsid w:val="00BE754D"/>
    <w:rsid w:val="00C505D3"/>
    <w:rsid w:val="00C60FD3"/>
    <w:rsid w:val="00C639DC"/>
    <w:rsid w:val="00C85FC8"/>
    <w:rsid w:val="00C96B3D"/>
    <w:rsid w:val="00CA014A"/>
    <w:rsid w:val="00CB6BBB"/>
    <w:rsid w:val="00CF6CFB"/>
    <w:rsid w:val="00D10973"/>
    <w:rsid w:val="00D14277"/>
    <w:rsid w:val="00D4241F"/>
    <w:rsid w:val="00DA23DE"/>
    <w:rsid w:val="00E33D55"/>
    <w:rsid w:val="00E52A52"/>
    <w:rsid w:val="00EC0B12"/>
    <w:rsid w:val="00F17B32"/>
    <w:rsid w:val="00F4263B"/>
    <w:rsid w:val="00F456C1"/>
    <w:rsid w:val="00F70E63"/>
    <w:rsid w:val="00FA2D3D"/>
    <w:rsid w:val="00FC449E"/>
    <w:rsid w:val="00FD72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3D5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E26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268A"/>
    <w:rPr>
      <w:rFonts w:cs="Times New Roman"/>
    </w:rPr>
  </w:style>
  <w:style w:type="paragraph" w:styleId="Footer">
    <w:name w:val="footer"/>
    <w:basedOn w:val="Normal"/>
    <w:link w:val="FooterChar"/>
    <w:uiPriority w:val="99"/>
    <w:rsid w:val="00815C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5C93"/>
    <w:rPr>
      <w:rFonts w:cs="Times New Roman"/>
    </w:rPr>
  </w:style>
  <w:style w:type="paragraph" w:styleId="BalloonText">
    <w:name w:val="Balloon Text"/>
    <w:basedOn w:val="Normal"/>
    <w:link w:val="BalloonTextChar"/>
    <w:uiPriority w:val="99"/>
    <w:semiHidden/>
    <w:rsid w:val="0081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C93"/>
    <w:rPr>
      <w:rFonts w:ascii="Tahoma" w:hAnsi="Tahoma" w:cs="Tahoma"/>
      <w:sz w:val="16"/>
      <w:szCs w:val="16"/>
    </w:rPr>
  </w:style>
  <w:style w:type="paragraph" w:styleId="NoSpacing">
    <w:name w:val="No Spacing"/>
    <w:link w:val="NoSpacingChar"/>
    <w:uiPriority w:val="99"/>
    <w:qFormat/>
    <w:rsid w:val="000755ED"/>
  </w:style>
  <w:style w:type="character" w:customStyle="1" w:styleId="NoSpacingChar">
    <w:name w:val="No Spacing Char"/>
    <w:basedOn w:val="DefaultParagraphFont"/>
    <w:link w:val="NoSpacing"/>
    <w:uiPriority w:val="99"/>
    <w:locked/>
    <w:rsid w:val="000755ED"/>
    <w:rPr>
      <w:rFonts w:cs="Times New Roman"/>
      <w:sz w:val="22"/>
      <w:szCs w:val="22"/>
      <w:lang w:val="en-US" w:eastAsia="en-US" w:bidi="ar-SA"/>
    </w:rPr>
  </w:style>
  <w:style w:type="paragraph" w:styleId="ListParagraph">
    <w:name w:val="List Paragraph"/>
    <w:basedOn w:val="Normal"/>
    <w:uiPriority w:val="99"/>
    <w:qFormat/>
    <w:rsid w:val="00A4134F"/>
    <w:pPr>
      <w:ind w:left="720"/>
    </w:pPr>
  </w:style>
  <w:style w:type="character" w:styleId="Emphasis">
    <w:name w:val="Emphasis"/>
    <w:basedOn w:val="DefaultParagraphFont"/>
    <w:uiPriority w:val="99"/>
    <w:qFormat/>
    <w:rsid w:val="009F5801"/>
    <w:rPr>
      <w:rFonts w:cs="Times New Roman"/>
      <w:i/>
      <w:iCs/>
    </w:rPr>
  </w:style>
  <w:style w:type="character" w:styleId="SubtleEmphasis">
    <w:name w:val="Subtle Emphasis"/>
    <w:basedOn w:val="DefaultParagraphFont"/>
    <w:uiPriority w:val="99"/>
    <w:qFormat/>
    <w:rsid w:val="009F5801"/>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136337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769</Words>
  <Characters>4384</Characters>
  <Application>Microsoft Office Outlook</Application>
  <DocSecurity>0</DocSecurity>
  <Lines>0</Lines>
  <Paragraphs>0</Paragraphs>
  <ScaleCrop>false</ScaleCrop>
  <Company>COMPUTER'S PATHOLOGY @ UTTARA HM PLAZA SHOP # 35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SSA. SAZIB # 01671417741 # 01816746474</cp:lastModifiedBy>
  <cp:revision>15</cp:revision>
  <dcterms:created xsi:type="dcterms:W3CDTF">2015-10-02T01:21:00Z</dcterms:created>
  <dcterms:modified xsi:type="dcterms:W3CDTF">2015-10-11T04:31:00Z</dcterms:modified>
</cp:coreProperties>
</file>