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03" w:rsidRDefault="00700503" w:rsidP="00700503">
      <w:pPr>
        <w:jc w:val="center"/>
        <w:rPr>
          <w:rFonts w:cstheme="minorHAnsi"/>
          <w:b/>
          <w:sz w:val="32"/>
          <w:szCs w:val="32"/>
        </w:rPr>
      </w:pPr>
      <w:r>
        <w:rPr>
          <w:rFonts w:cstheme="minorHAnsi"/>
          <w:b/>
          <w:sz w:val="32"/>
          <w:szCs w:val="32"/>
        </w:rPr>
        <w:t>CHAPTER-2</w:t>
      </w:r>
    </w:p>
    <w:p w:rsidR="00584303" w:rsidRPr="006B7960" w:rsidRDefault="00584303" w:rsidP="00700503">
      <w:pPr>
        <w:jc w:val="center"/>
        <w:rPr>
          <w:rFonts w:cstheme="minorHAnsi"/>
          <w:b/>
          <w:sz w:val="32"/>
          <w:szCs w:val="32"/>
        </w:rPr>
      </w:pPr>
      <w:r w:rsidRPr="006B7960">
        <w:rPr>
          <w:rFonts w:cstheme="minorHAnsi"/>
          <w:b/>
          <w:sz w:val="32"/>
          <w:szCs w:val="32"/>
        </w:rPr>
        <w:t>Materials and Methods</w:t>
      </w:r>
    </w:p>
    <w:p w:rsidR="00700503" w:rsidRDefault="00700503" w:rsidP="006B7960">
      <w:pPr>
        <w:jc w:val="both"/>
        <w:rPr>
          <w:rFonts w:cstheme="minorHAnsi"/>
          <w:b/>
          <w:sz w:val="28"/>
          <w:szCs w:val="28"/>
        </w:rPr>
      </w:pPr>
    </w:p>
    <w:p w:rsidR="00584303" w:rsidRPr="006B7960" w:rsidRDefault="00584303" w:rsidP="006B7960">
      <w:pPr>
        <w:jc w:val="both"/>
        <w:rPr>
          <w:rFonts w:cstheme="minorHAnsi"/>
          <w:b/>
          <w:sz w:val="28"/>
          <w:szCs w:val="28"/>
        </w:rPr>
      </w:pPr>
      <w:r w:rsidRPr="006B7960">
        <w:rPr>
          <w:rFonts w:cstheme="minorHAnsi"/>
          <w:b/>
          <w:sz w:val="28"/>
          <w:szCs w:val="28"/>
        </w:rPr>
        <w:t>Sample collection</w:t>
      </w:r>
    </w:p>
    <w:p w:rsidR="003B69BF" w:rsidRPr="006B7960" w:rsidRDefault="003B69BF" w:rsidP="006B7960">
      <w:pPr>
        <w:spacing w:after="0"/>
        <w:jc w:val="both"/>
        <w:rPr>
          <w:rFonts w:cstheme="minorHAnsi"/>
          <w:b/>
          <w:sz w:val="24"/>
          <w:szCs w:val="24"/>
        </w:rPr>
      </w:pPr>
      <w:r w:rsidRPr="006B7960">
        <w:rPr>
          <w:rFonts w:cstheme="minorHAnsi"/>
          <w:b/>
          <w:sz w:val="24"/>
          <w:szCs w:val="24"/>
        </w:rPr>
        <w:t xml:space="preserve">2.1. Duration of </w:t>
      </w:r>
      <w:r w:rsidR="00D65AFE" w:rsidRPr="006B7960">
        <w:rPr>
          <w:rFonts w:cstheme="minorHAnsi"/>
          <w:b/>
          <w:sz w:val="24"/>
          <w:szCs w:val="24"/>
        </w:rPr>
        <w:t>study:</w:t>
      </w:r>
    </w:p>
    <w:p w:rsidR="003B69BF" w:rsidRDefault="006B7960" w:rsidP="006B7960">
      <w:pPr>
        <w:spacing w:after="0"/>
        <w:jc w:val="both"/>
        <w:rPr>
          <w:rFonts w:cstheme="minorHAnsi"/>
          <w:color w:val="231F20"/>
        </w:rPr>
      </w:pPr>
      <w:r w:rsidRPr="006B7960">
        <w:rPr>
          <w:rFonts w:cstheme="minorHAnsi"/>
          <w:sz w:val="24"/>
          <w:szCs w:val="24"/>
        </w:rPr>
        <w:t>2 months long (February-April,</w:t>
      </w:r>
      <w:r w:rsidR="003B69BF" w:rsidRPr="006B7960">
        <w:rPr>
          <w:rFonts w:cstheme="minorHAnsi"/>
          <w:sz w:val="24"/>
          <w:szCs w:val="24"/>
        </w:rPr>
        <w:t>2015</w:t>
      </w:r>
      <w:r w:rsidRPr="006B7960">
        <w:rPr>
          <w:rFonts w:cstheme="minorHAnsi"/>
          <w:sz w:val="24"/>
          <w:szCs w:val="24"/>
        </w:rPr>
        <w:t>)</w:t>
      </w:r>
      <w:r w:rsidR="003B69BF" w:rsidRPr="006B7960">
        <w:rPr>
          <w:rFonts w:cstheme="minorHAnsi"/>
          <w:sz w:val="24"/>
          <w:szCs w:val="24"/>
        </w:rPr>
        <w:t>sample collection activities were perform</w:t>
      </w:r>
      <w:r w:rsidR="00665126">
        <w:rPr>
          <w:rFonts w:cstheme="minorHAnsi"/>
          <w:sz w:val="24"/>
          <w:szCs w:val="24"/>
        </w:rPr>
        <w:t>ed at different markets named</w:t>
      </w:r>
      <w:r w:rsidR="003B69BF" w:rsidRPr="006B7960">
        <w:rPr>
          <w:rFonts w:cstheme="minorHAnsi"/>
          <w:sz w:val="24"/>
          <w:szCs w:val="24"/>
        </w:rPr>
        <w:t xml:space="preserve"> Jhaotola Bazar,Riyajuddin Bazar,Kazir Dewri Bazar and Bahaddarhat </w:t>
      </w:r>
      <w:r w:rsidR="00665126">
        <w:rPr>
          <w:rFonts w:cstheme="minorHAnsi"/>
          <w:sz w:val="24"/>
          <w:szCs w:val="24"/>
        </w:rPr>
        <w:t>Bazar of chittagong Metropoliton area.</w:t>
      </w:r>
    </w:p>
    <w:p w:rsidR="006B7960" w:rsidRPr="006B7960" w:rsidRDefault="006B7960" w:rsidP="006B7960">
      <w:pPr>
        <w:spacing w:after="0"/>
        <w:jc w:val="both"/>
        <w:rPr>
          <w:rFonts w:cstheme="minorHAnsi"/>
          <w:color w:val="231F20"/>
        </w:rPr>
      </w:pPr>
    </w:p>
    <w:p w:rsidR="00DC4E34" w:rsidRPr="006B7960" w:rsidRDefault="00584303" w:rsidP="006B7960">
      <w:pPr>
        <w:spacing w:after="0"/>
        <w:jc w:val="both"/>
        <w:rPr>
          <w:rFonts w:cstheme="minorHAnsi"/>
          <w:b/>
          <w:sz w:val="24"/>
          <w:szCs w:val="24"/>
        </w:rPr>
      </w:pPr>
      <w:r w:rsidRPr="006B7960">
        <w:rPr>
          <w:rFonts w:cstheme="minorHAnsi"/>
        </w:rPr>
        <w:t xml:space="preserve"> </w:t>
      </w:r>
      <w:r w:rsidR="003B69BF" w:rsidRPr="006B7960">
        <w:rPr>
          <w:rFonts w:cstheme="minorHAnsi"/>
          <w:b/>
          <w:sz w:val="24"/>
          <w:szCs w:val="24"/>
        </w:rPr>
        <w:t>2.2</w:t>
      </w:r>
      <w:r w:rsidR="00DC4E34" w:rsidRPr="006B7960">
        <w:rPr>
          <w:rFonts w:cstheme="minorHAnsi"/>
          <w:b/>
          <w:sz w:val="24"/>
          <w:szCs w:val="24"/>
        </w:rPr>
        <w:t xml:space="preserve">. Selection of study area: </w:t>
      </w:r>
    </w:p>
    <w:p w:rsidR="003B69BF" w:rsidRPr="006B7960" w:rsidRDefault="003B69BF" w:rsidP="006B7960">
      <w:pPr>
        <w:jc w:val="both"/>
        <w:rPr>
          <w:rFonts w:cstheme="minorHAnsi"/>
        </w:rPr>
      </w:pPr>
      <w:r w:rsidRPr="006B7960">
        <w:rPr>
          <w:rFonts w:cstheme="minorHAnsi"/>
          <w:color w:val="231F20"/>
        </w:rPr>
        <w:t xml:space="preserve">Total 120 no. of cloacal </w:t>
      </w:r>
      <w:r w:rsidRPr="006B7960">
        <w:rPr>
          <w:rFonts w:cstheme="minorHAnsi"/>
        </w:rPr>
        <w:t>s</w:t>
      </w:r>
      <w:r w:rsidR="00584303" w:rsidRPr="006B7960">
        <w:rPr>
          <w:rFonts w:cstheme="minorHAnsi"/>
        </w:rPr>
        <w:t>wab samples were aseptically collected from</w:t>
      </w:r>
      <w:r w:rsidR="00DC4E34" w:rsidRPr="006B7960">
        <w:rPr>
          <w:rFonts w:cstheme="minorHAnsi"/>
        </w:rPr>
        <w:t xml:space="preserve"> </w:t>
      </w:r>
      <w:r w:rsidR="00584303" w:rsidRPr="006B7960">
        <w:rPr>
          <w:rFonts w:cstheme="minorHAnsi"/>
        </w:rPr>
        <w:t xml:space="preserve">apparently healthy </w:t>
      </w:r>
      <w:r w:rsidR="00E5188F" w:rsidRPr="006B7960">
        <w:rPr>
          <w:rFonts w:cstheme="minorHAnsi"/>
        </w:rPr>
        <w:t xml:space="preserve">broilers (n=60) and indigenous chickens (n=60) </w:t>
      </w:r>
      <w:r w:rsidR="00584303" w:rsidRPr="006B7960">
        <w:rPr>
          <w:rFonts w:cstheme="minorHAnsi"/>
        </w:rPr>
        <w:t xml:space="preserve"> </w:t>
      </w:r>
      <w:r w:rsidR="00DC4E34" w:rsidRPr="006B7960">
        <w:rPr>
          <w:rFonts w:cstheme="minorHAnsi"/>
        </w:rPr>
        <w:t>of Chittagong metropoliton area</w:t>
      </w:r>
      <w:r w:rsidRPr="006B7960">
        <w:rPr>
          <w:rFonts w:cstheme="minorHAnsi"/>
        </w:rPr>
        <w:t xml:space="preserve"> and then</w:t>
      </w:r>
      <w:r w:rsidR="00E5188F" w:rsidRPr="006B7960">
        <w:rPr>
          <w:rFonts w:cstheme="minorHAnsi"/>
        </w:rPr>
        <w:t xml:space="preserve"> the samples were </w:t>
      </w:r>
      <w:r w:rsidRPr="006B7960">
        <w:rPr>
          <w:rFonts w:cstheme="minorHAnsi"/>
        </w:rPr>
        <w:t xml:space="preserve"> </w:t>
      </w:r>
      <w:r w:rsidRPr="006B7960">
        <w:rPr>
          <w:rFonts w:cstheme="minorHAnsi"/>
          <w:color w:val="231F20"/>
        </w:rPr>
        <w:t xml:space="preserve">packed individually in sterile poly bags using sterile latex gloves </w:t>
      </w:r>
      <w:r w:rsidRPr="006B7960">
        <w:rPr>
          <w:rFonts w:cstheme="minorHAnsi"/>
        </w:rPr>
        <w:t xml:space="preserve">to avoid cross-contamination. Each sample </w:t>
      </w:r>
      <w:r w:rsidR="00E5188F" w:rsidRPr="006B7960">
        <w:rPr>
          <w:rFonts w:cstheme="minorHAnsi"/>
        </w:rPr>
        <w:t xml:space="preserve">was </w:t>
      </w:r>
      <w:r w:rsidRPr="006B7960">
        <w:rPr>
          <w:rFonts w:cstheme="minorHAnsi"/>
        </w:rPr>
        <w:t>immediately placed in steril</w:t>
      </w:r>
      <w:r w:rsidR="006B7960" w:rsidRPr="006B7960">
        <w:rPr>
          <w:rFonts w:cstheme="minorHAnsi"/>
        </w:rPr>
        <w:t>e collection tubes containing 5</w:t>
      </w:r>
      <w:r w:rsidRPr="006B7960">
        <w:rPr>
          <w:rFonts w:cstheme="minorHAnsi"/>
        </w:rPr>
        <w:t xml:space="preserve"> ml sterilized Buffer Peptone Water (BPW) and tube</w:t>
      </w:r>
      <w:r w:rsidR="006B7960" w:rsidRPr="006B7960">
        <w:rPr>
          <w:rFonts w:cstheme="minorHAnsi"/>
        </w:rPr>
        <w:t>s</w:t>
      </w:r>
      <w:r w:rsidRPr="006B7960">
        <w:rPr>
          <w:rFonts w:cstheme="minorHAnsi"/>
        </w:rPr>
        <w:t xml:space="preserve"> </w:t>
      </w:r>
      <w:r w:rsidR="006B7960" w:rsidRPr="006B7960">
        <w:rPr>
          <w:rFonts w:cstheme="minorHAnsi"/>
        </w:rPr>
        <w:t>were</w:t>
      </w:r>
      <w:r w:rsidRPr="006B7960">
        <w:rPr>
          <w:rFonts w:cstheme="minorHAnsi"/>
        </w:rPr>
        <w:t xml:space="preserve"> kept in ice box. The samples </w:t>
      </w:r>
      <w:r w:rsidR="00E5188F" w:rsidRPr="006B7960">
        <w:rPr>
          <w:rFonts w:cstheme="minorHAnsi"/>
        </w:rPr>
        <w:t xml:space="preserve">were </w:t>
      </w:r>
      <w:r w:rsidRPr="006B7960">
        <w:rPr>
          <w:rFonts w:cstheme="minorHAnsi"/>
        </w:rPr>
        <w:t xml:space="preserve"> taken to the laboratory for microbiological analysis using standard isolation, culture and iden</w:t>
      </w:r>
      <w:r w:rsidR="006B7960" w:rsidRPr="006B7960">
        <w:rPr>
          <w:rFonts w:cstheme="minorHAnsi"/>
        </w:rPr>
        <w:t>t</w:t>
      </w:r>
      <w:r w:rsidR="00665126">
        <w:rPr>
          <w:rFonts w:cstheme="minorHAnsi"/>
        </w:rPr>
        <w:t>ification techniques within</w:t>
      </w:r>
      <w:r w:rsidR="006B7960" w:rsidRPr="006B7960">
        <w:rPr>
          <w:rFonts w:cstheme="minorHAnsi"/>
        </w:rPr>
        <w:t xml:space="preserve"> 1</w:t>
      </w:r>
      <w:r w:rsidRPr="006B7960">
        <w:rPr>
          <w:rFonts w:cstheme="minorHAnsi"/>
        </w:rPr>
        <w:t>2 hours</w:t>
      </w:r>
      <w:r w:rsidRPr="006B7960">
        <w:rPr>
          <w:rFonts w:cstheme="minorHAnsi"/>
          <w:color w:val="231F20"/>
        </w:rPr>
        <w:t>.</w:t>
      </w:r>
    </w:p>
    <w:p w:rsidR="00584303" w:rsidRPr="006B7960" w:rsidRDefault="00E5188F" w:rsidP="006B7960">
      <w:pPr>
        <w:jc w:val="both"/>
        <w:rPr>
          <w:rFonts w:cstheme="minorHAnsi"/>
          <w:b/>
          <w:sz w:val="24"/>
          <w:szCs w:val="24"/>
        </w:rPr>
      </w:pPr>
      <w:r w:rsidRPr="006B7960">
        <w:rPr>
          <w:rFonts w:cstheme="minorHAnsi"/>
          <w:b/>
          <w:sz w:val="24"/>
          <w:szCs w:val="24"/>
        </w:rPr>
        <w:t xml:space="preserve">2.3 </w:t>
      </w:r>
      <w:r w:rsidR="00584303" w:rsidRPr="006B7960">
        <w:rPr>
          <w:rFonts w:cstheme="minorHAnsi"/>
          <w:b/>
          <w:sz w:val="24"/>
          <w:szCs w:val="24"/>
        </w:rPr>
        <w:t xml:space="preserve"> Enrichment </w:t>
      </w:r>
    </w:p>
    <w:p w:rsidR="00584303" w:rsidRPr="006B7960" w:rsidRDefault="00584303" w:rsidP="006B7960">
      <w:pPr>
        <w:jc w:val="both"/>
        <w:rPr>
          <w:rFonts w:cstheme="minorHAnsi"/>
        </w:rPr>
      </w:pPr>
      <w:r w:rsidRPr="006B7960">
        <w:rPr>
          <w:rFonts w:cstheme="minorHAnsi"/>
        </w:rPr>
        <w:t>Immediately after collection, samples were separately enriched in Nutrient Broth (NB) by incubating at 37</w:t>
      </w:r>
      <w:r w:rsidR="00E5188F" w:rsidRPr="006B7960">
        <w:rPr>
          <w:rFonts w:cstheme="minorHAnsi"/>
        </w:rPr>
        <w:t>°</w:t>
      </w:r>
      <w:r w:rsidRPr="006B7960">
        <w:rPr>
          <w:rFonts w:cstheme="minorHAnsi"/>
        </w:rPr>
        <w:t xml:space="preserve">C for overnight. </w:t>
      </w:r>
    </w:p>
    <w:p w:rsidR="00584303" w:rsidRPr="006B7960" w:rsidRDefault="00E5188F" w:rsidP="006B7960">
      <w:pPr>
        <w:jc w:val="both"/>
        <w:rPr>
          <w:rFonts w:cstheme="minorHAnsi"/>
          <w:b/>
          <w:sz w:val="24"/>
          <w:szCs w:val="24"/>
        </w:rPr>
      </w:pPr>
      <w:r w:rsidRPr="006B7960">
        <w:rPr>
          <w:rFonts w:cstheme="minorHAnsi"/>
          <w:b/>
          <w:sz w:val="24"/>
          <w:szCs w:val="24"/>
        </w:rPr>
        <w:t xml:space="preserve">2.4 </w:t>
      </w:r>
      <w:r w:rsidR="00584303" w:rsidRPr="006B7960">
        <w:rPr>
          <w:rFonts w:cstheme="minorHAnsi"/>
          <w:b/>
          <w:sz w:val="24"/>
          <w:szCs w:val="24"/>
        </w:rPr>
        <w:t xml:space="preserve">Isolation of </w:t>
      </w:r>
      <w:r w:rsidR="00584303" w:rsidRPr="00700503">
        <w:rPr>
          <w:rFonts w:cstheme="minorHAnsi"/>
          <w:b/>
          <w:i/>
          <w:sz w:val="24"/>
          <w:szCs w:val="24"/>
        </w:rPr>
        <w:t>E. coli</w:t>
      </w:r>
    </w:p>
    <w:p w:rsidR="00584303" w:rsidRPr="006B7960" w:rsidRDefault="00584303" w:rsidP="006B7960">
      <w:pPr>
        <w:jc w:val="both"/>
        <w:rPr>
          <w:rFonts w:cstheme="minorHAnsi"/>
        </w:rPr>
      </w:pPr>
      <w:r w:rsidRPr="006B7960">
        <w:rPr>
          <w:rFonts w:cstheme="minorHAnsi"/>
        </w:rPr>
        <w:t xml:space="preserve"> After enrichment in NB, a small amount of inoculum from NB was streaked </w:t>
      </w:r>
      <w:r w:rsidR="00665126">
        <w:rPr>
          <w:rFonts w:cstheme="minorHAnsi"/>
        </w:rPr>
        <w:t>onto</w:t>
      </w:r>
      <w:r w:rsidR="00665126" w:rsidRPr="00665126">
        <w:rPr>
          <w:rFonts w:cstheme="minorHAnsi"/>
        </w:rPr>
        <w:t xml:space="preserve"> </w:t>
      </w:r>
      <w:r w:rsidR="00665126" w:rsidRPr="006B7960">
        <w:rPr>
          <w:rFonts w:cstheme="minorHAnsi"/>
        </w:rPr>
        <w:t>MacConkey (MC) agar media</w:t>
      </w:r>
      <w:r w:rsidR="00665126" w:rsidRPr="00665126">
        <w:rPr>
          <w:rFonts w:cstheme="minorHAnsi"/>
        </w:rPr>
        <w:t xml:space="preserve"> </w:t>
      </w:r>
      <w:r w:rsidR="00665126">
        <w:rPr>
          <w:rFonts w:cstheme="minorHAnsi"/>
        </w:rPr>
        <w:t xml:space="preserve"> </w:t>
      </w:r>
      <w:r w:rsidR="00665126" w:rsidRPr="006B7960">
        <w:rPr>
          <w:rFonts w:cstheme="minorHAnsi"/>
        </w:rPr>
        <w:t>and incubated at 37°C for overnight</w:t>
      </w:r>
      <w:r w:rsidR="00665126">
        <w:rPr>
          <w:rFonts w:cstheme="minorHAnsi"/>
        </w:rPr>
        <w:t xml:space="preserve">.Characteristic colonies was picked up and then again inoculated </w:t>
      </w:r>
      <w:r w:rsidRPr="006B7960">
        <w:rPr>
          <w:rFonts w:cstheme="minorHAnsi"/>
        </w:rPr>
        <w:t xml:space="preserve"> onto eosin methylene blue (EMB) agar media and incubated at 37</w:t>
      </w:r>
      <w:r w:rsidR="00E5188F" w:rsidRPr="006B7960">
        <w:rPr>
          <w:rFonts w:cstheme="minorHAnsi"/>
        </w:rPr>
        <w:t>°</w:t>
      </w:r>
      <w:r w:rsidRPr="006B7960">
        <w:rPr>
          <w:rFonts w:cstheme="minorHAnsi"/>
        </w:rPr>
        <w:t>C for</w:t>
      </w:r>
      <w:r w:rsidR="00665126">
        <w:rPr>
          <w:rFonts w:cstheme="minorHAnsi"/>
        </w:rPr>
        <w:t xml:space="preserve"> overnight (Cheesbrough, 1985) for confirmation.</w:t>
      </w:r>
    </w:p>
    <w:p w:rsidR="00584303" w:rsidRPr="006B7960" w:rsidRDefault="00E5188F" w:rsidP="006B7960">
      <w:pPr>
        <w:jc w:val="both"/>
        <w:rPr>
          <w:rFonts w:cstheme="minorHAnsi"/>
          <w:b/>
          <w:sz w:val="24"/>
          <w:szCs w:val="24"/>
        </w:rPr>
      </w:pPr>
      <w:r w:rsidRPr="006B7960">
        <w:rPr>
          <w:rFonts w:cstheme="minorHAnsi"/>
          <w:b/>
          <w:sz w:val="24"/>
          <w:szCs w:val="24"/>
        </w:rPr>
        <w:t xml:space="preserve">2.5 </w:t>
      </w:r>
      <w:r w:rsidR="00584303" w:rsidRPr="006B7960">
        <w:rPr>
          <w:rFonts w:cstheme="minorHAnsi"/>
          <w:b/>
          <w:sz w:val="24"/>
          <w:szCs w:val="24"/>
        </w:rPr>
        <w:t xml:space="preserve">Characterization of </w:t>
      </w:r>
      <w:r w:rsidR="00584303" w:rsidRPr="00700503">
        <w:rPr>
          <w:rFonts w:cstheme="minorHAnsi"/>
          <w:b/>
          <w:i/>
          <w:sz w:val="24"/>
          <w:szCs w:val="24"/>
        </w:rPr>
        <w:t>E. coli</w:t>
      </w:r>
    </w:p>
    <w:p w:rsidR="00584303" w:rsidRPr="006B7960" w:rsidRDefault="00584303" w:rsidP="006B7960">
      <w:pPr>
        <w:jc w:val="both"/>
        <w:rPr>
          <w:rFonts w:cstheme="minorHAnsi"/>
        </w:rPr>
      </w:pPr>
      <w:r w:rsidRPr="006B7960">
        <w:rPr>
          <w:rFonts w:cstheme="minorHAnsi"/>
        </w:rPr>
        <w:t xml:space="preserve"> Characterization of the </w:t>
      </w:r>
      <w:r w:rsidRPr="00700503">
        <w:rPr>
          <w:rFonts w:cstheme="minorHAnsi"/>
          <w:i/>
        </w:rPr>
        <w:t>E. coli</w:t>
      </w:r>
      <w:r w:rsidRPr="006B7960">
        <w:rPr>
          <w:rFonts w:cstheme="minorHAnsi"/>
        </w:rPr>
        <w:t xml:space="preserve"> was performed on the basis of cultural characteristics, Gram staining, motility test and antibiogram profiles. Colonial morphology of </w:t>
      </w:r>
      <w:r w:rsidRPr="00700503">
        <w:rPr>
          <w:rFonts w:cstheme="minorHAnsi"/>
          <w:i/>
        </w:rPr>
        <w:t>E. coli</w:t>
      </w:r>
      <w:r w:rsidRPr="006B7960">
        <w:rPr>
          <w:rFonts w:cstheme="minorHAnsi"/>
        </w:rPr>
        <w:t xml:space="preserve"> such as- size, margin, elevation and color were recorde</w:t>
      </w:r>
      <w:r w:rsidR="00E5188F" w:rsidRPr="006B7960">
        <w:rPr>
          <w:rFonts w:cstheme="minorHAnsi"/>
        </w:rPr>
        <w:t>d on EMB agar</w:t>
      </w:r>
      <w:r w:rsidRPr="006B7960">
        <w:rPr>
          <w:rFonts w:cstheme="minorHAnsi"/>
        </w:rPr>
        <w:t xml:space="preserve"> and MacConkey (MC) agar media to study cultural characteristics (Cheesebourgh,1985). Biochemical characterization of </w:t>
      </w:r>
      <w:r w:rsidRPr="00700503">
        <w:rPr>
          <w:rFonts w:cstheme="minorHAnsi"/>
          <w:i/>
        </w:rPr>
        <w:t>E. coli</w:t>
      </w:r>
      <w:r w:rsidRPr="006B7960">
        <w:rPr>
          <w:rFonts w:cstheme="minorHAnsi"/>
        </w:rPr>
        <w:t xml:space="preserve"> was performed by sugar fermentation reactions. Also, methyl red-Voges Proskauer (MRVP), catalase and indole tests were done according to the method described by Cowan (1985). </w:t>
      </w:r>
    </w:p>
    <w:p w:rsidR="00815594" w:rsidRDefault="00815594" w:rsidP="006B7960">
      <w:pPr>
        <w:jc w:val="both"/>
        <w:rPr>
          <w:rFonts w:cstheme="minorHAnsi"/>
          <w:b/>
          <w:sz w:val="24"/>
          <w:szCs w:val="24"/>
        </w:rPr>
      </w:pPr>
      <w:r>
        <w:rPr>
          <w:rFonts w:cstheme="minorHAnsi"/>
          <w:b/>
          <w:sz w:val="24"/>
          <w:szCs w:val="24"/>
        </w:rPr>
        <w:t xml:space="preserve">                                                  </w:t>
      </w:r>
      <w:r w:rsidR="00BD19BA">
        <w:rPr>
          <w:rFonts w:cstheme="minorHAnsi"/>
          <w:b/>
          <w:sz w:val="24"/>
          <w:szCs w:val="24"/>
        </w:rPr>
        <w:t xml:space="preserve">                               </w:t>
      </w:r>
    </w:p>
    <w:p w:rsidR="00584303" w:rsidRPr="006B7960" w:rsidRDefault="00E5188F" w:rsidP="006B7960">
      <w:pPr>
        <w:jc w:val="both"/>
        <w:rPr>
          <w:rFonts w:cstheme="minorHAnsi"/>
          <w:b/>
          <w:sz w:val="24"/>
          <w:szCs w:val="24"/>
        </w:rPr>
      </w:pPr>
      <w:r w:rsidRPr="006B7960">
        <w:rPr>
          <w:rFonts w:cstheme="minorHAnsi"/>
          <w:b/>
          <w:sz w:val="24"/>
          <w:szCs w:val="24"/>
        </w:rPr>
        <w:lastRenderedPageBreak/>
        <w:t xml:space="preserve">2.6 </w:t>
      </w:r>
      <w:r w:rsidR="00584303" w:rsidRPr="006B7960">
        <w:rPr>
          <w:rFonts w:cstheme="minorHAnsi"/>
          <w:b/>
          <w:sz w:val="24"/>
          <w:szCs w:val="24"/>
        </w:rPr>
        <w:t xml:space="preserve">Antibiogram study </w:t>
      </w:r>
    </w:p>
    <w:p w:rsidR="00584303" w:rsidRPr="006B7960" w:rsidRDefault="00665126" w:rsidP="006B7960">
      <w:pPr>
        <w:jc w:val="both"/>
        <w:rPr>
          <w:rFonts w:cstheme="minorHAnsi"/>
        </w:rPr>
      </w:pPr>
      <w:r>
        <w:rPr>
          <w:rFonts w:cstheme="minorHAnsi"/>
        </w:rPr>
        <w:t>30</w:t>
      </w:r>
      <w:r w:rsidR="00584303" w:rsidRPr="006B7960">
        <w:rPr>
          <w:rFonts w:cstheme="minorHAnsi"/>
        </w:rPr>
        <w:t xml:space="preserve"> </w:t>
      </w:r>
      <w:r w:rsidR="00584303" w:rsidRPr="00700503">
        <w:rPr>
          <w:rFonts w:cstheme="minorHAnsi"/>
          <w:i/>
        </w:rPr>
        <w:t>E. coli</w:t>
      </w:r>
      <w:r w:rsidR="00584303" w:rsidRPr="006B7960">
        <w:rPr>
          <w:rFonts w:cstheme="minorHAnsi"/>
        </w:rPr>
        <w:t xml:space="preserve"> isolates were randomly selected for antibiotic sensitivity assay. </w:t>
      </w:r>
      <w:r w:rsidR="00A4688D">
        <w:rPr>
          <w:rFonts w:cstheme="minorHAnsi"/>
        </w:rPr>
        <w:t>D</w:t>
      </w:r>
      <w:r w:rsidR="00A4688D" w:rsidRPr="006B7960">
        <w:rPr>
          <w:rFonts w:cstheme="minorHAnsi"/>
        </w:rPr>
        <w:t xml:space="preserve">isc diffusion method </w:t>
      </w:r>
      <w:r w:rsidR="00A4688D">
        <w:rPr>
          <w:rFonts w:cstheme="minorHAnsi"/>
        </w:rPr>
        <w:t xml:space="preserve"> described by</w:t>
      </w:r>
      <w:r w:rsidR="00584303" w:rsidRPr="006B7960">
        <w:rPr>
          <w:rFonts w:cstheme="minorHAnsi"/>
        </w:rPr>
        <w:t xml:space="preserve"> </w:t>
      </w:r>
      <w:r w:rsidR="00A4688D" w:rsidRPr="006B7960">
        <w:rPr>
          <w:rFonts w:cstheme="minorHAnsi"/>
        </w:rPr>
        <w:t xml:space="preserve">Bauer </w:t>
      </w:r>
      <w:r w:rsidR="00A4688D">
        <w:rPr>
          <w:rFonts w:cstheme="minorHAnsi"/>
        </w:rPr>
        <w:t xml:space="preserve">and Kirby </w:t>
      </w:r>
      <w:r w:rsidR="00584303" w:rsidRPr="006B7960">
        <w:rPr>
          <w:rFonts w:cstheme="minorHAnsi"/>
        </w:rPr>
        <w:t>(Bauer et al</w:t>
      </w:r>
      <w:r w:rsidR="002976EF" w:rsidRPr="00BB452E">
        <w:rPr>
          <w:rFonts w:cstheme="minorHAnsi"/>
        </w:rPr>
        <w:fldChar w:fldCharType="begin"/>
      </w:r>
      <w:r w:rsidR="00BB452E" w:rsidRPr="00BB452E">
        <w:rPr>
          <w:rFonts w:cstheme="minorHAnsi"/>
        </w:rPr>
        <w:instrText xml:space="preserve"> PAGE   \* MERGEFORMAT </w:instrText>
      </w:r>
      <w:r w:rsidR="002976EF" w:rsidRPr="00BB452E">
        <w:rPr>
          <w:rFonts w:cstheme="minorHAnsi"/>
        </w:rPr>
        <w:fldChar w:fldCharType="separate"/>
      </w:r>
      <w:r w:rsidR="00BB452E">
        <w:rPr>
          <w:rFonts w:cstheme="minorHAnsi"/>
          <w:noProof/>
        </w:rPr>
        <w:t>2</w:t>
      </w:r>
      <w:r w:rsidR="002976EF" w:rsidRPr="00BB452E">
        <w:rPr>
          <w:rFonts w:cstheme="minorHAnsi"/>
        </w:rPr>
        <w:fldChar w:fldCharType="end"/>
      </w:r>
      <w:r w:rsidR="00584303" w:rsidRPr="006B7960">
        <w:rPr>
          <w:rFonts w:cstheme="minorHAnsi"/>
        </w:rPr>
        <w:t xml:space="preserve">., 1966) was used to determine the susceptibility of </w:t>
      </w:r>
      <w:r w:rsidR="00584303" w:rsidRPr="00700503">
        <w:rPr>
          <w:rFonts w:cstheme="minorHAnsi"/>
          <w:i/>
        </w:rPr>
        <w:t>E. coli</w:t>
      </w:r>
      <w:r w:rsidR="00584303" w:rsidRPr="006B7960">
        <w:rPr>
          <w:rFonts w:cstheme="minorHAnsi"/>
        </w:rPr>
        <w:t xml:space="preserve"> isolates against antibiotic agents. In brief, the procedure involved measuring the diameter of the zone of inhibition that results from diffusion of the antimicrobial agents into the medium surrounding the disc. The reactions of test organisms to each antibiotic were classified as sensitive, intermediate and resistant according to the diameter of zone of inhibition recommended by NCCLS (2003). Ten commercially available antimicrobial discs (Oxoid Ltd, Baringstoke, Hampshire, England) were used in this study, which are mentioned with corresponding standard disc concentration in Table 1. </w:t>
      </w:r>
    </w:p>
    <w:p w:rsidR="008C019D" w:rsidRDefault="008C019D" w:rsidP="006B7960">
      <w:pPr>
        <w:jc w:val="both"/>
        <w:rPr>
          <w:rFonts w:cstheme="minorHAnsi"/>
          <w:b/>
        </w:rPr>
      </w:pPr>
    </w:p>
    <w:p w:rsidR="00700503" w:rsidRPr="00700503" w:rsidRDefault="00584303" w:rsidP="006B7960">
      <w:pPr>
        <w:jc w:val="both"/>
        <w:rPr>
          <w:rFonts w:cstheme="minorHAnsi"/>
          <w:b/>
          <w:i/>
        </w:rPr>
      </w:pPr>
      <w:r w:rsidRPr="006B7960">
        <w:rPr>
          <w:rFonts w:cstheme="minorHAnsi"/>
          <w:b/>
        </w:rPr>
        <w:t>Table 1. Antibiotic concentration of discs used in an</w:t>
      </w:r>
      <w:r w:rsidR="00237FAF" w:rsidRPr="006B7960">
        <w:rPr>
          <w:rFonts w:cstheme="minorHAnsi"/>
          <w:b/>
        </w:rPr>
        <w:t xml:space="preserve">tibiotic sensitivity assay for </w:t>
      </w:r>
      <w:r w:rsidR="00237FAF" w:rsidRPr="006B7960">
        <w:rPr>
          <w:rFonts w:cstheme="minorHAnsi"/>
          <w:b/>
          <w:i/>
        </w:rPr>
        <w:t>E</w:t>
      </w:r>
      <w:r w:rsidRPr="006B7960">
        <w:rPr>
          <w:rFonts w:cstheme="minorHAnsi"/>
          <w:b/>
          <w:i/>
        </w:rPr>
        <w:t>. Coli</w:t>
      </w:r>
    </w:p>
    <w:tbl>
      <w:tblPr>
        <w:tblStyle w:val="TableGrid"/>
        <w:tblW w:w="0" w:type="auto"/>
        <w:tblLook w:val="04A0"/>
      </w:tblPr>
      <w:tblGrid>
        <w:gridCol w:w="4788"/>
        <w:gridCol w:w="2970"/>
      </w:tblGrid>
      <w:tr w:rsidR="00584303" w:rsidRPr="006B7960" w:rsidTr="0084246A">
        <w:tc>
          <w:tcPr>
            <w:tcW w:w="4788" w:type="dxa"/>
          </w:tcPr>
          <w:p w:rsidR="00584303" w:rsidRPr="006B7960" w:rsidRDefault="00584303" w:rsidP="006B7960">
            <w:pPr>
              <w:spacing w:line="276" w:lineRule="auto"/>
              <w:jc w:val="both"/>
              <w:rPr>
                <w:rFonts w:cstheme="minorHAnsi"/>
              </w:rPr>
            </w:pPr>
            <w:r w:rsidRPr="006B7960">
              <w:rPr>
                <w:rFonts w:cstheme="minorHAnsi"/>
              </w:rPr>
              <w:t>Name of antibiotic</w:t>
            </w:r>
          </w:p>
        </w:tc>
        <w:tc>
          <w:tcPr>
            <w:tcW w:w="2970" w:type="dxa"/>
          </w:tcPr>
          <w:p w:rsidR="00584303" w:rsidRPr="006B7960" w:rsidRDefault="00584303" w:rsidP="006B7960">
            <w:pPr>
              <w:spacing w:line="276" w:lineRule="auto"/>
              <w:jc w:val="both"/>
              <w:rPr>
                <w:rFonts w:cstheme="minorHAnsi"/>
              </w:rPr>
            </w:pPr>
            <w:r w:rsidRPr="006B7960">
              <w:rPr>
                <w:rFonts w:cstheme="minorHAnsi"/>
              </w:rPr>
              <w:t>Concentration per disc (µg)</w:t>
            </w:r>
          </w:p>
        </w:tc>
      </w:tr>
      <w:tr w:rsidR="00584303" w:rsidRPr="006B7960" w:rsidTr="0084246A">
        <w:tc>
          <w:tcPr>
            <w:tcW w:w="4788" w:type="dxa"/>
          </w:tcPr>
          <w:p w:rsidR="00584303" w:rsidRPr="006B7960" w:rsidRDefault="00584303" w:rsidP="006B7960">
            <w:pPr>
              <w:spacing w:line="276" w:lineRule="auto"/>
              <w:jc w:val="both"/>
              <w:rPr>
                <w:rFonts w:cstheme="minorHAnsi"/>
              </w:rPr>
            </w:pPr>
            <w:r w:rsidRPr="006B7960">
              <w:rPr>
                <w:rFonts w:cstheme="minorHAnsi"/>
              </w:rPr>
              <w:t>Chloramphenicol</w:t>
            </w:r>
          </w:p>
        </w:tc>
        <w:tc>
          <w:tcPr>
            <w:tcW w:w="2970" w:type="dxa"/>
          </w:tcPr>
          <w:p w:rsidR="00584303" w:rsidRPr="006B7960" w:rsidRDefault="00584303" w:rsidP="006B7960">
            <w:pPr>
              <w:spacing w:line="276" w:lineRule="auto"/>
              <w:jc w:val="both"/>
              <w:rPr>
                <w:rFonts w:cstheme="minorHAnsi"/>
              </w:rPr>
            </w:pPr>
            <w:r w:rsidRPr="006B7960">
              <w:rPr>
                <w:rFonts w:cstheme="minorHAnsi"/>
              </w:rPr>
              <w:t>30</w:t>
            </w:r>
          </w:p>
        </w:tc>
      </w:tr>
      <w:tr w:rsidR="00584303" w:rsidRPr="006B7960" w:rsidTr="0084246A">
        <w:tc>
          <w:tcPr>
            <w:tcW w:w="4788" w:type="dxa"/>
          </w:tcPr>
          <w:p w:rsidR="00584303" w:rsidRPr="006B7960" w:rsidRDefault="00584303" w:rsidP="006B7960">
            <w:pPr>
              <w:spacing w:line="276" w:lineRule="auto"/>
              <w:jc w:val="both"/>
              <w:rPr>
                <w:rFonts w:cstheme="minorHAnsi"/>
              </w:rPr>
            </w:pPr>
            <w:r w:rsidRPr="006B7960">
              <w:rPr>
                <w:rFonts w:cstheme="minorHAnsi"/>
              </w:rPr>
              <w:t>Ciprofloxacin</w:t>
            </w:r>
          </w:p>
        </w:tc>
        <w:tc>
          <w:tcPr>
            <w:tcW w:w="2970" w:type="dxa"/>
          </w:tcPr>
          <w:p w:rsidR="00584303" w:rsidRPr="006B7960" w:rsidRDefault="00584303" w:rsidP="006B7960">
            <w:pPr>
              <w:spacing w:line="276" w:lineRule="auto"/>
              <w:jc w:val="both"/>
              <w:rPr>
                <w:rFonts w:cstheme="minorHAnsi"/>
              </w:rPr>
            </w:pPr>
            <w:r w:rsidRPr="006B7960">
              <w:rPr>
                <w:rFonts w:cstheme="minorHAnsi"/>
              </w:rPr>
              <w:t>5</w:t>
            </w:r>
          </w:p>
        </w:tc>
      </w:tr>
      <w:tr w:rsidR="00584303" w:rsidRPr="006B7960" w:rsidTr="0084246A">
        <w:tc>
          <w:tcPr>
            <w:tcW w:w="4788" w:type="dxa"/>
          </w:tcPr>
          <w:p w:rsidR="00584303" w:rsidRPr="006B7960" w:rsidRDefault="00584303" w:rsidP="006B7960">
            <w:pPr>
              <w:spacing w:line="276" w:lineRule="auto"/>
              <w:jc w:val="both"/>
              <w:rPr>
                <w:rFonts w:cstheme="minorHAnsi"/>
              </w:rPr>
            </w:pPr>
            <w:r w:rsidRPr="006B7960">
              <w:rPr>
                <w:rFonts w:cstheme="minorHAnsi"/>
              </w:rPr>
              <w:t>Gentamicin</w:t>
            </w:r>
          </w:p>
        </w:tc>
        <w:tc>
          <w:tcPr>
            <w:tcW w:w="2970" w:type="dxa"/>
          </w:tcPr>
          <w:p w:rsidR="00584303" w:rsidRPr="006B7960" w:rsidRDefault="00584303" w:rsidP="006B7960">
            <w:pPr>
              <w:spacing w:line="276" w:lineRule="auto"/>
              <w:jc w:val="both"/>
              <w:rPr>
                <w:rFonts w:cstheme="minorHAnsi"/>
              </w:rPr>
            </w:pPr>
            <w:r w:rsidRPr="006B7960">
              <w:rPr>
                <w:rFonts w:cstheme="minorHAnsi"/>
              </w:rPr>
              <w:t>10</w:t>
            </w:r>
          </w:p>
        </w:tc>
      </w:tr>
      <w:tr w:rsidR="00584303" w:rsidRPr="006B7960" w:rsidTr="0084246A">
        <w:tc>
          <w:tcPr>
            <w:tcW w:w="4788" w:type="dxa"/>
          </w:tcPr>
          <w:p w:rsidR="00584303" w:rsidRPr="006B7960" w:rsidRDefault="00584303" w:rsidP="006B7960">
            <w:pPr>
              <w:spacing w:line="276" w:lineRule="auto"/>
              <w:jc w:val="both"/>
              <w:rPr>
                <w:rFonts w:cstheme="minorHAnsi"/>
              </w:rPr>
            </w:pPr>
            <w:r w:rsidRPr="006B7960">
              <w:rPr>
                <w:rFonts w:cstheme="minorHAnsi"/>
              </w:rPr>
              <w:t>Cephalexin</w:t>
            </w:r>
          </w:p>
        </w:tc>
        <w:tc>
          <w:tcPr>
            <w:tcW w:w="2970" w:type="dxa"/>
          </w:tcPr>
          <w:p w:rsidR="00584303" w:rsidRPr="006B7960" w:rsidRDefault="00584303" w:rsidP="006B7960">
            <w:pPr>
              <w:spacing w:line="276" w:lineRule="auto"/>
              <w:jc w:val="both"/>
              <w:rPr>
                <w:rFonts w:cstheme="minorHAnsi"/>
              </w:rPr>
            </w:pPr>
            <w:r w:rsidRPr="006B7960">
              <w:rPr>
                <w:rFonts w:cstheme="minorHAnsi"/>
              </w:rPr>
              <w:t>30</w:t>
            </w:r>
          </w:p>
        </w:tc>
      </w:tr>
      <w:tr w:rsidR="00584303" w:rsidRPr="006B7960" w:rsidTr="0084246A">
        <w:tc>
          <w:tcPr>
            <w:tcW w:w="4788" w:type="dxa"/>
          </w:tcPr>
          <w:p w:rsidR="00584303" w:rsidRPr="006B7960" w:rsidRDefault="00584303" w:rsidP="006B7960">
            <w:pPr>
              <w:spacing w:line="276" w:lineRule="auto"/>
              <w:jc w:val="both"/>
              <w:rPr>
                <w:rFonts w:cstheme="minorHAnsi"/>
              </w:rPr>
            </w:pPr>
            <w:r w:rsidRPr="006B7960">
              <w:rPr>
                <w:rFonts w:cstheme="minorHAnsi"/>
              </w:rPr>
              <w:t>Kanamycin</w:t>
            </w:r>
          </w:p>
        </w:tc>
        <w:tc>
          <w:tcPr>
            <w:tcW w:w="2970" w:type="dxa"/>
          </w:tcPr>
          <w:p w:rsidR="00584303" w:rsidRPr="006B7960" w:rsidRDefault="00584303" w:rsidP="006B7960">
            <w:pPr>
              <w:spacing w:line="276" w:lineRule="auto"/>
              <w:jc w:val="both"/>
              <w:rPr>
                <w:rFonts w:cstheme="minorHAnsi"/>
              </w:rPr>
            </w:pPr>
            <w:r w:rsidRPr="006B7960">
              <w:rPr>
                <w:rFonts w:cstheme="minorHAnsi"/>
              </w:rPr>
              <w:t>30</w:t>
            </w:r>
          </w:p>
        </w:tc>
      </w:tr>
      <w:tr w:rsidR="00584303" w:rsidRPr="006B7960" w:rsidTr="0084246A">
        <w:tc>
          <w:tcPr>
            <w:tcW w:w="4788" w:type="dxa"/>
          </w:tcPr>
          <w:p w:rsidR="00584303" w:rsidRPr="006B7960" w:rsidRDefault="00584303" w:rsidP="006B7960">
            <w:pPr>
              <w:spacing w:line="276" w:lineRule="auto"/>
              <w:jc w:val="both"/>
              <w:rPr>
                <w:rFonts w:cstheme="minorHAnsi"/>
              </w:rPr>
            </w:pPr>
            <w:r w:rsidRPr="006B7960">
              <w:rPr>
                <w:rFonts w:cstheme="minorHAnsi"/>
              </w:rPr>
              <w:t>Cephradine</w:t>
            </w:r>
          </w:p>
        </w:tc>
        <w:tc>
          <w:tcPr>
            <w:tcW w:w="2970" w:type="dxa"/>
          </w:tcPr>
          <w:p w:rsidR="00584303" w:rsidRPr="006B7960" w:rsidRDefault="00584303" w:rsidP="006B7960">
            <w:pPr>
              <w:spacing w:line="276" w:lineRule="auto"/>
              <w:jc w:val="both"/>
              <w:rPr>
                <w:rFonts w:cstheme="minorHAnsi"/>
              </w:rPr>
            </w:pPr>
            <w:r w:rsidRPr="006B7960">
              <w:rPr>
                <w:rFonts w:cstheme="minorHAnsi"/>
              </w:rPr>
              <w:t>30</w:t>
            </w:r>
          </w:p>
        </w:tc>
      </w:tr>
      <w:tr w:rsidR="00584303" w:rsidRPr="006B7960" w:rsidTr="0084246A">
        <w:tc>
          <w:tcPr>
            <w:tcW w:w="4788" w:type="dxa"/>
          </w:tcPr>
          <w:p w:rsidR="00584303" w:rsidRPr="006B7960" w:rsidRDefault="00584303" w:rsidP="006B7960">
            <w:pPr>
              <w:spacing w:line="276" w:lineRule="auto"/>
              <w:jc w:val="both"/>
              <w:rPr>
                <w:rFonts w:cstheme="minorHAnsi"/>
              </w:rPr>
            </w:pPr>
            <w:r w:rsidRPr="006B7960">
              <w:rPr>
                <w:rFonts w:cstheme="minorHAnsi"/>
              </w:rPr>
              <w:t>Amoxicillin</w:t>
            </w:r>
          </w:p>
        </w:tc>
        <w:tc>
          <w:tcPr>
            <w:tcW w:w="2970" w:type="dxa"/>
          </w:tcPr>
          <w:p w:rsidR="00584303" w:rsidRPr="006B7960" w:rsidRDefault="00584303" w:rsidP="006B7960">
            <w:pPr>
              <w:spacing w:line="276" w:lineRule="auto"/>
              <w:jc w:val="both"/>
              <w:rPr>
                <w:rFonts w:cstheme="minorHAnsi"/>
              </w:rPr>
            </w:pPr>
            <w:r w:rsidRPr="006B7960">
              <w:rPr>
                <w:rFonts w:cstheme="minorHAnsi"/>
              </w:rPr>
              <w:t>10</w:t>
            </w:r>
          </w:p>
        </w:tc>
      </w:tr>
      <w:tr w:rsidR="00584303" w:rsidRPr="006B7960" w:rsidTr="0084246A">
        <w:tc>
          <w:tcPr>
            <w:tcW w:w="4788" w:type="dxa"/>
          </w:tcPr>
          <w:p w:rsidR="00584303" w:rsidRPr="006B7960" w:rsidRDefault="00584303" w:rsidP="006B7960">
            <w:pPr>
              <w:spacing w:line="276" w:lineRule="auto"/>
              <w:jc w:val="both"/>
              <w:rPr>
                <w:rFonts w:cstheme="minorHAnsi"/>
              </w:rPr>
            </w:pPr>
            <w:r w:rsidRPr="006B7960">
              <w:rPr>
                <w:rFonts w:cstheme="minorHAnsi"/>
              </w:rPr>
              <w:t>Streptomycin</w:t>
            </w:r>
          </w:p>
        </w:tc>
        <w:tc>
          <w:tcPr>
            <w:tcW w:w="2970" w:type="dxa"/>
          </w:tcPr>
          <w:p w:rsidR="00584303" w:rsidRPr="006B7960" w:rsidRDefault="00584303" w:rsidP="006B7960">
            <w:pPr>
              <w:spacing w:line="276" w:lineRule="auto"/>
              <w:jc w:val="both"/>
              <w:rPr>
                <w:rFonts w:cstheme="minorHAnsi"/>
              </w:rPr>
            </w:pPr>
            <w:r w:rsidRPr="006B7960">
              <w:rPr>
                <w:rFonts w:cstheme="minorHAnsi"/>
              </w:rPr>
              <w:t>10</w:t>
            </w:r>
          </w:p>
        </w:tc>
      </w:tr>
      <w:tr w:rsidR="00584303" w:rsidRPr="006B7960" w:rsidTr="0084246A">
        <w:tc>
          <w:tcPr>
            <w:tcW w:w="4788" w:type="dxa"/>
          </w:tcPr>
          <w:p w:rsidR="00584303" w:rsidRPr="006B7960" w:rsidRDefault="00584303" w:rsidP="006B7960">
            <w:pPr>
              <w:spacing w:line="276" w:lineRule="auto"/>
              <w:jc w:val="both"/>
              <w:rPr>
                <w:rFonts w:cstheme="minorHAnsi"/>
              </w:rPr>
            </w:pPr>
            <w:r w:rsidRPr="006B7960">
              <w:rPr>
                <w:rFonts w:cstheme="minorHAnsi"/>
              </w:rPr>
              <w:t>Tetracycline</w:t>
            </w:r>
          </w:p>
        </w:tc>
        <w:tc>
          <w:tcPr>
            <w:tcW w:w="2970" w:type="dxa"/>
          </w:tcPr>
          <w:p w:rsidR="00584303" w:rsidRPr="006B7960" w:rsidRDefault="00584303" w:rsidP="006B7960">
            <w:pPr>
              <w:spacing w:line="276" w:lineRule="auto"/>
              <w:jc w:val="both"/>
              <w:rPr>
                <w:rFonts w:cstheme="minorHAnsi"/>
              </w:rPr>
            </w:pPr>
            <w:r w:rsidRPr="006B7960">
              <w:rPr>
                <w:rFonts w:cstheme="minorHAnsi"/>
              </w:rPr>
              <w:t>30</w:t>
            </w:r>
          </w:p>
        </w:tc>
      </w:tr>
      <w:tr w:rsidR="00584303" w:rsidRPr="006B7960" w:rsidTr="008C019D">
        <w:trPr>
          <w:trHeight w:val="323"/>
        </w:trPr>
        <w:tc>
          <w:tcPr>
            <w:tcW w:w="4788" w:type="dxa"/>
          </w:tcPr>
          <w:p w:rsidR="00584303" w:rsidRPr="006B7960" w:rsidRDefault="00584303" w:rsidP="006B7960">
            <w:pPr>
              <w:spacing w:line="276" w:lineRule="auto"/>
              <w:jc w:val="both"/>
              <w:rPr>
                <w:rFonts w:cstheme="minorHAnsi"/>
              </w:rPr>
            </w:pPr>
            <w:r w:rsidRPr="006B7960">
              <w:rPr>
                <w:rFonts w:cstheme="minorHAnsi"/>
              </w:rPr>
              <w:t>Nalidixic acid</w:t>
            </w:r>
          </w:p>
        </w:tc>
        <w:tc>
          <w:tcPr>
            <w:tcW w:w="2970" w:type="dxa"/>
          </w:tcPr>
          <w:p w:rsidR="00584303" w:rsidRPr="006B7960" w:rsidRDefault="00584303" w:rsidP="006B7960">
            <w:pPr>
              <w:spacing w:line="276" w:lineRule="auto"/>
              <w:jc w:val="both"/>
              <w:rPr>
                <w:rFonts w:cstheme="minorHAnsi"/>
              </w:rPr>
            </w:pPr>
            <w:r w:rsidRPr="006B7960">
              <w:rPr>
                <w:rFonts w:cstheme="minorHAnsi"/>
              </w:rPr>
              <w:t>3</w:t>
            </w:r>
          </w:p>
        </w:tc>
      </w:tr>
    </w:tbl>
    <w:p w:rsidR="00584303" w:rsidRDefault="00584303" w:rsidP="006B7960">
      <w:pPr>
        <w:jc w:val="both"/>
        <w:rPr>
          <w:rFonts w:cstheme="minorHAnsi"/>
          <w:noProof/>
        </w:rPr>
      </w:pPr>
    </w:p>
    <w:p w:rsidR="00A0581E" w:rsidRDefault="00A0581E" w:rsidP="006B7960">
      <w:pPr>
        <w:jc w:val="both"/>
        <w:rPr>
          <w:rFonts w:cstheme="minorHAnsi"/>
          <w:noProof/>
        </w:rPr>
      </w:pPr>
      <w:r>
        <w:rPr>
          <w:rFonts w:cstheme="minorHAnsi"/>
          <w:noProof/>
        </w:rPr>
        <w:t xml:space="preserve">                                                                                                                                  </w:t>
      </w:r>
    </w:p>
    <w:p w:rsidR="00A0581E" w:rsidRDefault="00A0581E" w:rsidP="00863189">
      <w:pPr>
        <w:ind w:firstLine="720"/>
        <w:jc w:val="both"/>
        <w:rPr>
          <w:rFonts w:cstheme="minorHAnsi"/>
          <w:noProof/>
        </w:rPr>
      </w:pPr>
    </w:p>
    <w:p w:rsidR="00863189" w:rsidRDefault="00863189" w:rsidP="00863189">
      <w:pPr>
        <w:ind w:firstLine="720"/>
        <w:jc w:val="both"/>
        <w:rPr>
          <w:rFonts w:cstheme="minorHAnsi"/>
          <w:noProof/>
        </w:rPr>
      </w:pPr>
    </w:p>
    <w:p w:rsidR="00863189" w:rsidRDefault="00863189" w:rsidP="00863189">
      <w:pPr>
        <w:ind w:firstLine="720"/>
        <w:jc w:val="both"/>
        <w:rPr>
          <w:rFonts w:cstheme="minorHAnsi"/>
          <w:noProof/>
        </w:rPr>
      </w:pPr>
    </w:p>
    <w:p w:rsidR="00863189" w:rsidRDefault="00863189" w:rsidP="00863189">
      <w:pPr>
        <w:ind w:firstLine="720"/>
        <w:jc w:val="both"/>
        <w:rPr>
          <w:rFonts w:cstheme="minorHAnsi"/>
          <w:noProof/>
        </w:rPr>
      </w:pPr>
    </w:p>
    <w:p w:rsidR="00863189" w:rsidRDefault="00863189" w:rsidP="00863189">
      <w:pPr>
        <w:ind w:firstLine="720"/>
        <w:jc w:val="both"/>
        <w:rPr>
          <w:rFonts w:cstheme="minorHAnsi"/>
          <w:noProof/>
        </w:rPr>
      </w:pPr>
    </w:p>
    <w:p w:rsidR="00863189" w:rsidRDefault="00863189" w:rsidP="00863189">
      <w:pPr>
        <w:ind w:firstLine="720"/>
        <w:jc w:val="both"/>
        <w:rPr>
          <w:rFonts w:cstheme="minorHAnsi"/>
          <w:noProof/>
        </w:rPr>
      </w:pPr>
    </w:p>
    <w:p w:rsidR="00863189" w:rsidRPr="00815594" w:rsidRDefault="00815594" w:rsidP="00863189">
      <w:pPr>
        <w:ind w:firstLine="720"/>
        <w:jc w:val="both"/>
        <w:rPr>
          <w:rFonts w:cstheme="minorHAnsi"/>
          <w:noProof/>
        </w:rPr>
      </w:pPr>
      <w:r>
        <w:rPr>
          <w:rFonts w:cstheme="minorHAnsi"/>
          <w:noProof/>
        </w:rPr>
        <w:t xml:space="preserve">                                                                               </w:t>
      </w:r>
    </w:p>
    <w:p w:rsidR="00543EC6" w:rsidRDefault="00543EC6" w:rsidP="00AF34B1">
      <w:pPr>
        <w:jc w:val="both"/>
        <w:rPr>
          <w:rFonts w:cstheme="minorHAnsi"/>
          <w:noProof/>
        </w:rPr>
      </w:pPr>
      <w:r>
        <w:rPr>
          <w:rFonts w:cstheme="minorHAnsi"/>
          <w:noProof/>
        </w:rPr>
        <w:t xml:space="preserve">                                                          </w:t>
      </w:r>
      <w:r w:rsidR="00BD19BA">
        <w:rPr>
          <w:rFonts w:cstheme="minorHAnsi"/>
          <w:noProof/>
        </w:rPr>
        <w:t xml:space="preserve">                               </w:t>
      </w:r>
    </w:p>
    <w:p w:rsidR="00AF34B1" w:rsidRDefault="00AF34B1" w:rsidP="00A0581E">
      <w:pPr>
        <w:rPr>
          <w:rFonts w:ascii="Times New Roman" w:hAnsi="Times New Roman" w:cs="Times New Roman"/>
          <w:b/>
          <w:color w:val="000000" w:themeColor="text1"/>
          <w:sz w:val="24"/>
          <w:szCs w:val="24"/>
        </w:rPr>
      </w:pPr>
    </w:p>
    <w:tbl>
      <w:tblPr>
        <w:tblStyle w:val="TableGrid"/>
        <w:tblpPr w:leftFromText="180" w:rightFromText="180" w:vertAnchor="text" w:horzAnchor="margin" w:tblpXSpec="center"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5"/>
        <w:gridCol w:w="3225"/>
        <w:gridCol w:w="3126"/>
      </w:tblGrid>
      <w:tr w:rsidR="00B00BF8" w:rsidTr="00AF34B1">
        <w:trPr>
          <w:trHeight w:val="4418"/>
        </w:trPr>
        <w:tc>
          <w:tcPr>
            <w:tcW w:w="3225" w:type="dxa"/>
          </w:tcPr>
          <w:p w:rsidR="00B00BF8" w:rsidRDefault="00B00BF8" w:rsidP="00B00BF8">
            <w:pPr>
              <w:tabs>
                <w:tab w:val="left" w:pos="3915"/>
                <w:tab w:val="left" w:pos="7785"/>
              </w:tabs>
              <w:rPr>
                <w:rFonts w:ascii="Times New Roman" w:hAnsi="Times New Roman" w:cs="Times New Roman"/>
                <w:b/>
                <w:color w:val="000000" w:themeColor="text1"/>
                <w:sz w:val="24"/>
                <w:szCs w:val="24"/>
              </w:rPr>
            </w:pPr>
            <w:r w:rsidRPr="00B00BF8">
              <w:rPr>
                <w:rFonts w:ascii="Times New Roman" w:hAnsi="Times New Roman" w:cs="Times New Roman"/>
                <w:b/>
                <w:noProof/>
                <w:color w:val="000000" w:themeColor="text1"/>
                <w:sz w:val="24"/>
                <w:szCs w:val="24"/>
              </w:rPr>
              <w:drawing>
                <wp:inline distT="0" distB="0" distL="0" distR="0">
                  <wp:extent cx="1828800" cy="2743200"/>
                  <wp:effectExtent l="19050" t="0" r="0" b="0"/>
                  <wp:docPr id="15" name="Picture 2" descr="C:\Users\user\Desktop\20150413_1024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Desktop\20150413_102445.jpg"/>
                          <pic:cNvPicPr>
                            <a:picLocks noChangeAspect="1" noChangeArrowheads="1"/>
                          </pic:cNvPicPr>
                        </pic:nvPicPr>
                        <pic:blipFill>
                          <a:blip r:embed="rId7" cstate="print"/>
                          <a:srcRect/>
                          <a:stretch>
                            <a:fillRect/>
                          </a:stretch>
                        </pic:blipFill>
                        <pic:spPr bwMode="auto">
                          <a:xfrm>
                            <a:off x="0" y="0"/>
                            <a:ext cx="1828800" cy="2743200"/>
                          </a:xfrm>
                          <a:prstGeom prst="rect">
                            <a:avLst/>
                          </a:prstGeom>
                          <a:noFill/>
                          <a:ln w="9525">
                            <a:noFill/>
                            <a:miter lim="800000"/>
                            <a:headEnd/>
                            <a:tailEnd/>
                          </a:ln>
                        </pic:spPr>
                      </pic:pic>
                    </a:graphicData>
                  </a:graphic>
                </wp:inline>
              </w:drawing>
            </w:r>
          </w:p>
        </w:tc>
        <w:tc>
          <w:tcPr>
            <w:tcW w:w="3225" w:type="dxa"/>
          </w:tcPr>
          <w:p w:rsidR="00B00BF8" w:rsidRDefault="00B00BF8" w:rsidP="00B00BF8">
            <w:pPr>
              <w:tabs>
                <w:tab w:val="left" w:pos="3915"/>
                <w:tab w:val="left" w:pos="7785"/>
              </w:tabs>
              <w:rPr>
                <w:rFonts w:ascii="Times New Roman" w:hAnsi="Times New Roman" w:cs="Times New Roman"/>
                <w:b/>
                <w:color w:val="000000" w:themeColor="text1"/>
                <w:sz w:val="24"/>
                <w:szCs w:val="24"/>
              </w:rPr>
            </w:pPr>
            <w:r w:rsidRPr="00B00BF8">
              <w:rPr>
                <w:rFonts w:ascii="Times New Roman" w:hAnsi="Times New Roman" w:cs="Times New Roman"/>
                <w:b/>
                <w:noProof/>
                <w:color w:val="000000" w:themeColor="text1"/>
                <w:sz w:val="24"/>
                <w:szCs w:val="24"/>
              </w:rPr>
              <w:drawing>
                <wp:inline distT="0" distB="0" distL="0" distR="0">
                  <wp:extent cx="1828800" cy="2743200"/>
                  <wp:effectExtent l="19050" t="0" r="0" b="0"/>
                  <wp:docPr id="16" name="Picture 4" descr="C:\Users\user\Desktop\20150413_09564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user\Desktop\20150413_095644.jpg"/>
                          <pic:cNvPicPr>
                            <a:picLocks noChangeAspect="1" noChangeArrowheads="1"/>
                          </pic:cNvPicPr>
                        </pic:nvPicPr>
                        <pic:blipFill>
                          <a:blip r:embed="rId8" cstate="print"/>
                          <a:srcRect/>
                          <a:stretch>
                            <a:fillRect/>
                          </a:stretch>
                        </pic:blipFill>
                        <pic:spPr bwMode="auto">
                          <a:xfrm>
                            <a:off x="0" y="0"/>
                            <a:ext cx="1828800" cy="2743200"/>
                          </a:xfrm>
                          <a:prstGeom prst="rect">
                            <a:avLst/>
                          </a:prstGeom>
                          <a:noFill/>
                          <a:ln w="9525">
                            <a:noFill/>
                            <a:miter lim="800000"/>
                            <a:headEnd/>
                            <a:tailEnd/>
                          </a:ln>
                        </pic:spPr>
                      </pic:pic>
                    </a:graphicData>
                  </a:graphic>
                </wp:inline>
              </w:drawing>
            </w:r>
          </w:p>
        </w:tc>
        <w:tc>
          <w:tcPr>
            <w:tcW w:w="3126" w:type="dxa"/>
          </w:tcPr>
          <w:p w:rsidR="00B00BF8" w:rsidRPr="00B00BF8" w:rsidRDefault="00B00BF8" w:rsidP="00B00BF8">
            <w:pPr>
              <w:tabs>
                <w:tab w:val="left" w:pos="3915"/>
                <w:tab w:val="left" w:pos="7785"/>
              </w:tabs>
              <w:rPr>
                <w:rFonts w:ascii="Times New Roman" w:hAnsi="Times New Roman" w:cs="Times New Roman"/>
                <w:b/>
                <w:color w:val="000000" w:themeColor="text1"/>
                <w:sz w:val="24"/>
                <w:szCs w:val="24"/>
              </w:rPr>
            </w:pPr>
            <w:r w:rsidRPr="00B00BF8">
              <w:rPr>
                <w:rFonts w:ascii="Times New Roman" w:hAnsi="Times New Roman" w:cs="Times New Roman"/>
                <w:b/>
                <w:noProof/>
                <w:color w:val="000000" w:themeColor="text1"/>
                <w:sz w:val="24"/>
                <w:szCs w:val="24"/>
              </w:rPr>
              <w:drawing>
                <wp:inline distT="0" distB="0" distL="0" distR="0">
                  <wp:extent cx="1828800" cy="2743200"/>
                  <wp:effectExtent l="19050" t="0" r="0" b="0"/>
                  <wp:docPr id="17" name="Picture 8" descr="C:\Users\Amith\Desktop\aaaaa\IMG_5383 -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Amith\Desktop\aaaaa\IMG_5383 - Copy.JPG"/>
                          <pic:cNvPicPr>
                            <a:picLocks noChangeAspect="1" noChangeArrowheads="1"/>
                          </pic:cNvPicPr>
                        </pic:nvPicPr>
                        <pic:blipFill>
                          <a:blip r:embed="rId9" cstate="print"/>
                          <a:srcRect/>
                          <a:stretch>
                            <a:fillRect/>
                          </a:stretch>
                        </pic:blipFill>
                        <pic:spPr bwMode="auto">
                          <a:xfrm>
                            <a:off x="0" y="0"/>
                            <a:ext cx="1828800" cy="2743200"/>
                          </a:xfrm>
                          <a:prstGeom prst="rect">
                            <a:avLst/>
                          </a:prstGeom>
                          <a:ln w="127000" cap="sq">
                            <a:noFill/>
                            <a:miter lim="800000"/>
                          </a:ln>
                          <a:effectLst/>
                        </pic:spPr>
                      </pic:pic>
                    </a:graphicData>
                  </a:graphic>
                </wp:inline>
              </w:drawing>
            </w:r>
          </w:p>
        </w:tc>
      </w:tr>
      <w:tr w:rsidR="00B00BF8" w:rsidTr="00AF34B1">
        <w:trPr>
          <w:trHeight w:val="242"/>
        </w:trPr>
        <w:tc>
          <w:tcPr>
            <w:tcW w:w="6450" w:type="dxa"/>
            <w:gridSpan w:val="2"/>
            <w:vAlign w:val="center"/>
          </w:tcPr>
          <w:p w:rsidR="00B00BF8" w:rsidRDefault="00B00BF8" w:rsidP="00B00BF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Figure 1</w:t>
            </w:r>
            <w:r w:rsidRPr="003C570D">
              <w:rPr>
                <w:rFonts w:ascii="Times New Roman" w:hAnsi="Times New Roman" w:cs="Times New Roman"/>
                <w:b/>
                <w:color w:val="000000" w:themeColor="text1"/>
                <w:sz w:val="24"/>
                <w:szCs w:val="24"/>
              </w:rPr>
              <w:t>: Preparation of M</w:t>
            </w:r>
            <w:r>
              <w:rPr>
                <w:rFonts w:ascii="Times New Roman" w:hAnsi="Times New Roman" w:cs="Times New Roman"/>
                <w:b/>
                <w:color w:val="000000" w:themeColor="text1"/>
                <w:sz w:val="24"/>
                <w:szCs w:val="24"/>
              </w:rPr>
              <w:t>a</w:t>
            </w:r>
            <w:r w:rsidRPr="003C570D">
              <w:rPr>
                <w:rFonts w:ascii="Times New Roman" w:hAnsi="Times New Roman" w:cs="Times New Roman"/>
                <w:b/>
                <w:color w:val="000000" w:themeColor="text1"/>
                <w:sz w:val="24"/>
                <w:szCs w:val="24"/>
              </w:rPr>
              <w:t>cConkey Agar</w:t>
            </w:r>
          </w:p>
        </w:tc>
        <w:tc>
          <w:tcPr>
            <w:tcW w:w="3126" w:type="dxa"/>
            <w:vAlign w:val="center"/>
          </w:tcPr>
          <w:p w:rsidR="00B00BF8" w:rsidRDefault="00AF34B1" w:rsidP="0018726E">
            <w:pPr>
              <w:ind w:left="1020" w:hanging="10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Figure 2</w:t>
            </w:r>
            <w:r w:rsidR="00B00BF8" w:rsidRPr="003C570D">
              <w:rPr>
                <w:rFonts w:ascii="Times New Roman" w:hAnsi="Times New Roman" w:cs="Times New Roman"/>
                <w:b/>
                <w:color w:val="000000" w:themeColor="text1"/>
                <w:sz w:val="24"/>
                <w:szCs w:val="24"/>
              </w:rPr>
              <w:t xml:space="preserve">: Preparation of </w:t>
            </w:r>
            <w:r w:rsidR="00B00BF8">
              <w:rPr>
                <w:rFonts w:ascii="Times New Roman" w:hAnsi="Times New Roman" w:cs="Times New Roman"/>
                <w:b/>
                <w:color w:val="000000" w:themeColor="text1"/>
                <w:sz w:val="24"/>
                <w:szCs w:val="24"/>
              </w:rPr>
              <w:t>Peptone Water</w:t>
            </w:r>
          </w:p>
        </w:tc>
      </w:tr>
    </w:tbl>
    <w:p w:rsidR="00AF34B1" w:rsidRDefault="00AF34B1" w:rsidP="00A0581E">
      <w:pPr>
        <w:rPr>
          <w:rFonts w:ascii="Times New Roman" w:hAnsi="Times New Roman" w:cs="Times New Roman"/>
          <w:b/>
          <w:color w:val="000000" w:themeColor="text1"/>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3510"/>
      </w:tblGrid>
      <w:tr w:rsidR="00AF34B1" w:rsidTr="00AF34B1">
        <w:trPr>
          <w:jc w:val="center"/>
        </w:trPr>
        <w:tc>
          <w:tcPr>
            <w:tcW w:w="4068" w:type="dxa"/>
          </w:tcPr>
          <w:p w:rsidR="00AF34B1" w:rsidRDefault="00AF34B1" w:rsidP="00A0581E">
            <w:pPr>
              <w:rPr>
                <w:rFonts w:ascii="Times New Roman" w:hAnsi="Times New Roman" w:cs="Times New Roman"/>
                <w:b/>
                <w:color w:val="000000" w:themeColor="text1"/>
                <w:sz w:val="24"/>
                <w:szCs w:val="24"/>
              </w:rPr>
            </w:pPr>
            <w:r w:rsidRPr="00AF34B1">
              <w:rPr>
                <w:rFonts w:ascii="Times New Roman" w:hAnsi="Times New Roman" w:cs="Times New Roman"/>
                <w:b/>
                <w:noProof/>
                <w:color w:val="000000" w:themeColor="text1"/>
                <w:sz w:val="24"/>
                <w:szCs w:val="24"/>
              </w:rPr>
              <w:drawing>
                <wp:inline distT="0" distB="0" distL="0" distR="0">
                  <wp:extent cx="2390775" cy="2705100"/>
                  <wp:effectExtent l="19050" t="0" r="9525" b="0"/>
                  <wp:docPr id="24" name="Picture 3" descr="C:\Users\user\Desktop\20150413_12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150413_124111.jpg"/>
                          <pic:cNvPicPr>
                            <a:picLocks noChangeAspect="1" noChangeArrowheads="1"/>
                          </pic:cNvPicPr>
                        </pic:nvPicPr>
                        <pic:blipFill>
                          <a:blip r:embed="rId10" cstate="print"/>
                          <a:srcRect/>
                          <a:stretch>
                            <a:fillRect/>
                          </a:stretch>
                        </pic:blipFill>
                        <pic:spPr bwMode="auto">
                          <a:xfrm>
                            <a:off x="0" y="0"/>
                            <a:ext cx="2390775" cy="2705100"/>
                          </a:xfrm>
                          <a:prstGeom prst="rect">
                            <a:avLst/>
                          </a:prstGeom>
                          <a:noFill/>
                          <a:ln w="9525">
                            <a:noFill/>
                            <a:miter lim="800000"/>
                            <a:headEnd/>
                            <a:tailEnd/>
                          </a:ln>
                        </pic:spPr>
                      </pic:pic>
                    </a:graphicData>
                  </a:graphic>
                </wp:inline>
              </w:drawing>
            </w:r>
          </w:p>
        </w:tc>
        <w:tc>
          <w:tcPr>
            <w:tcW w:w="3510" w:type="dxa"/>
          </w:tcPr>
          <w:p w:rsidR="00AF34B1" w:rsidRDefault="00AF34B1" w:rsidP="00A0581E">
            <w:pPr>
              <w:rPr>
                <w:rFonts w:ascii="Times New Roman" w:hAnsi="Times New Roman" w:cs="Times New Roman"/>
                <w:b/>
                <w:color w:val="000000" w:themeColor="text1"/>
                <w:sz w:val="24"/>
                <w:szCs w:val="24"/>
              </w:rPr>
            </w:pPr>
            <w:r w:rsidRPr="00AF34B1">
              <w:rPr>
                <w:rFonts w:ascii="Times New Roman" w:hAnsi="Times New Roman" w:cs="Times New Roman"/>
                <w:b/>
                <w:noProof/>
                <w:color w:val="000000" w:themeColor="text1"/>
                <w:sz w:val="24"/>
                <w:szCs w:val="24"/>
              </w:rPr>
              <w:drawing>
                <wp:inline distT="0" distB="0" distL="0" distR="0">
                  <wp:extent cx="2057400" cy="2743200"/>
                  <wp:effectExtent l="19050" t="0" r="0" b="0"/>
                  <wp:docPr id="25" name="Picture 1" descr="C:\Users\user\Desktop\20150421_123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50421_123642.jpg"/>
                          <pic:cNvPicPr>
                            <a:picLocks noChangeAspect="1" noChangeArrowheads="1"/>
                          </pic:cNvPicPr>
                        </pic:nvPicPr>
                        <pic:blipFill>
                          <a:blip r:embed="rId11" cstate="print"/>
                          <a:srcRect/>
                          <a:stretch>
                            <a:fillRect/>
                          </a:stretch>
                        </pic:blipFill>
                        <pic:spPr bwMode="auto">
                          <a:xfrm>
                            <a:off x="0" y="0"/>
                            <a:ext cx="2057400" cy="2743200"/>
                          </a:xfrm>
                          <a:prstGeom prst="rect">
                            <a:avLst/>
                          </a:prstGeom>
                          <a:noFill/>
                          <a:ln w="9525">
                            <a:noFill/>
                            <a:miter lim="800000"/>
                            <a:headEnd/>
                            <a:tailEnd/>
                          </a:ln>
                        </pic:spPr>
                      </pic:pic>
                    </a:graphicData>
                  </a:graphic>
                </wp:inline>
              </w:drawing>
            </w:r>
          </w:p>
        </w:tc>
      </w:tr>
      <w:tr w:rsidR="00AF34B1" w:rsidTr="00AF34B1">
        <w:trPr>
          <w:jc w:val="center"/>
        </w:trPr>
        <w:tc>
          <w:tcPr>
            <w:tcW w:w="4068" w:type="dxa"/>
            <w:vAlign w:val="center"/>
          </w:tcPr>
          <w:p w:rsidR="00AF34B1" w:rsidRPr="00AF34B1" w:rsidRDefault="0018726E" w:rsidP="00AF34B1">
            <w:pPr>
              <w:jc w:val="center"/>
              <w:rPr>
                <w:rFonts w:cstheme="minorHAnsi"/>
              </w:rPr>
            </w:pPr>
            <w:r>
              <w:rPr>
                <w:rFonts w:ascii="Times New Roman" w:hAnsi="Times New Roman" w:cs="Times New Roman"/>
                <w:b/>
                <w:color w:val="000000" w:themeColor="text1"/>
                <w:sz w:val="24"/>
                <w:szCs w:val="24"/>
              </w:rPr>
              <w:t>Figure 3</w:t>
            </w:r>
            <w:r w:rsidR="00AF34B1" w:rsidRPr="003C570D">
              <w:rPr>
                <w:rFonts w:ascii="Times New Roman" w:hAnsi="Times New Roman" w:cs="Times New Roman"/>
                <w:b/>
                <w:color w:val="000000" w:themeColor="text1"/>
                <w:sz w:val="24"/>
                <w:szCs w:val="24"/>
              </w:rPr>
              <w:t>: Incubation at 37</w:t>
            </w:r>
            <w:r w:rsidR="00AF34B1" w:rsidRPr="003C570D">
              <w:rPr>
                <w:rFonts w:ascii="Times New Roman" w:hAnsi="Times New Roman" w:cs="Times New Roman"/>
                <w:b/>
                <w:color w:val="000000" w:themeColor="text1"/>
                <w:sz w:val="24"/>
                <w:szCs w:val="24"/>
                <w:vertAlign w:val="superscript"/>
              </w:rPr>
              <w:t>0</w:t>
            </w:r>
            <w:r w:rsidR="00AF34B1" w:rsidRPr="003C570D">
              <w:rPr>
                <w:rFonts w:ascii="Times New Roman" w:hAnsi="Times New Roman" w:cs="Times New Roman"/>
                <w:b/>
                <w:color w:val="000000" w:themeColor="text1"/>
                <w:sz w:val="24"/>
                <w:szCs w:val="24"/>
              </w:rPr>
              <w:t>C</w:t>
            </w:r>
          </w:p>
        </w:tc>
        <w:tc>
          <w:tcPr>
            <w:tcW w:w="3510" w:type="dxa"/>
            <w:vAlign w:val="center"/>
          </w:tcPr>
          <w:p w:rsidR="00AF34B1" w:rsidRDefault="00AF34B1" w:rsidP="0018726E">
            <w:pPr>
              <w:ind w:left="693" w:hanging="69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Figure 4:</w:t>
            </w:r>
            <w:r w:rsidR="0018726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Perform Antibiotic Sensitivity Test</w:t>
            </w:r>
          </w:p>
        </w:tc>
      </w:tr>
    </w:tbl>
    <w:p w:rsidR="00AF34B1" w:rsidRDefault="00AF34B1" w:rsidP="00A0581E">
      <w:pPr>
        <w:rPr>
          <w:rFonts w:ascii="Times New Roman" w:hAnsi="Times New Roman" w:cs="Times New Roman"/>
          <w:b/>
          <w:color w:val="000000" w:themeColor="text1"/>
          <w:sz w:val="24"/>
          <w:szCs w:val="24"/>
        </w:rPr>
      </w:pPr>
    </w:p>
    <w:p w:rsidR="00A0581E" w:rsidRDefault="00815594" w:rsidP="006B7960">
      <w:pPr>
        <w:jc w:val="both"/>
        <w:rPr>
          <w:rFonts w:cstheme="minorHAnsi"/>
        </w:rPr>
      </w:pPr>
      <w:r>
        <w:rPr>
          <w:rFonts w:cstheme="minorHAnsi"/>
        </w:rPr>
        <w:t xml:space="preserve">                                                                </w:t>
      </w:r>
      <w:r w:rsidR="00543EC6">
        <w:rPr>
          <w:rFonts w:cstheme="minorHAnsi"/>
        </w:rPr>
        <w:t xml:space="preserve">                               </w:t>
      </w:r>
    </w:p>
    <w:p w:rsidR="00543EC6" w:rsidRDefault="00543EC6" w:rsidP="006B7960">
      <w:pPr>
        <w:jc w:val="both"/>
        <w:rPr>
          <w:rFonts w:cstheme="minorHAnsi"/>
        </w:rPr>
      </w:pPr>
    </w:p>
    <w:p w:rsidR="00543EC6" w:rsidRPr="006B7960" w:rsidRDefault="00543EC6" w:rsidP="006B7960">
      <w:pPr>
        <w:jc w:val="both"/>
        <w:rPr>
          <w:rFonts w:cstheme="minorHAnsi"/>
        </w:rPr>
      </w:pPr>
      <w:r>
        <w:rPr>
          <w:rFonts w:cstheme="minorHAnsi"/>
        </w:rPr>
        <w:t xml:space="preserve">                                                                    </w:t>
      </w:r>
      <w:r w:rsidR="00345076">
        <w:rPr>
          <w:rFonts w:cstheme="minorHAnsi"/>
        </w:rPr>
        <w:t xml:space="preserve">                               </w:t>
      </w:r>
    </w:p>
    <w:sectPr w:rsidR="00543EC6" w:rsidRPr="006B7960" w:rsidSect="00BB452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A3D" w:rsidRDefault="00B92A3D" w:rsidP="008D349C">
      <w:pPr>
        <w:spacing w:after="0" w:line="240" w:lineRule="auto"/>
      </w:pPr>
      <w:r>
        <w:separator/>
      </w:r>
    </w:p>
  </w:endnote>
  <w:endnote w:type="continuationSeparator" w:id="1">
    <w:p w:rsidR="00B92A3D" w:rsidRDefault="00B92A3D" w:rsidP="008D3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2E" w:rsidRDefault="00BB45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637"/>
      <w:docPartObj>
        <w:docPartGallery w:val="Page Numbers (Bottom of Page)"/>
        <w:docPartUnique/>
      </w:docPartObj>
    </w:sdtPr>
    <w:sdtContent>
      <w:p w:rsidR="00BB452E" w:rsidRDefault="002976EF">
        <w:pPr>
          <w:pStyle w:val="Footer"/>
          <w:jc w:val="center"/>
        </w:pPr>
        <w:fldSimple w:instr=" PAGE   \* MERGEFORMAT ">
          <w:r w:rsidR="00FB739E">
            <w:rPr>
              <w:noProof/>
            </w:rPr>
            <w:t>4</w:t>
          </w:r>
        </w:fldSimple>
      </w:p>
    </w:sdtContent>
  </w:sdt>
  <w:p w:rsidR="008D349C" w:rsidRDefault="008D349C" w:rsidP="008D349C">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2E" w:rsidRDefault="00BB4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A3D" w:rsidRDefault="00B92A3D" w:rsidP="008D349C">
      <w:pPr>
        <w:spacing w:after="0" w:line="240" w:lineRule="auto"/>
      </w:pPr>
      <w:r>
        <w:separator/>
      </w:r>
    </w:p>
  </w:footnote>
  <w:footnote w:type="continuationSeparator" w:id="1">
    <w:p w:rsidR="00B92A3D" w:rsidRDefault="00B92A3D" w:rsidP="008D34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2E" w:rsidRDefault="00BB45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2E" w:rsidRDefault="00BB45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2E" w:rsidRDefault="00BB45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4303"/>
    <w:rsid w:val="000B0F77"/>
    <w:rsid w:val="00141043"/>
    <w:rsid w:val="0018726E"/>
    <w:rsid w:val="001D7AFB"/>
    <w:rsid w:val="001E2452"/>
    <w:rsid w:val="001F4364"/>
    <w:rsid w:val="00237171"/>
    <w:rsid w:val="00237FAF"/>
    <w:rsid w:val="002976EF"/>
    <w:rsid w:val="002C692E"/>
    <w:rsid w:val="00345076"/>
    <w:rsid w:val="003521BB"/>
    <w:rsid w:val="003B69BF"/>
    <w:rsid w:val="003C3C5A"/>
    <w:rsid w:val="003E1636"/>
    <w:rsid w:val="00417125"/>
    <w:rsid w:val="004F40E7"/>
    <w:rsid w:val="00543EC6"/>
    <w:rsid w:val="00566E68"/>
    <w:rsid w:val="00584303"/>
    <w:rsid w:val="005C6388"/>
    <w:rsid w:val="00613D45"/>
    <w:rsid w:val="00665126"/>
    <w:rsid w:val="00673274"/>
    <w:rsid w:val="006B7960"/>
    <w:rsid w:val="00700503"/>
    <w:rsid w:val="007967DA"/>
    <w:rsid w:val="00815594"/>
    <w:rsid w:val="0084246A"/>
    <w:rsid w:val="00863189"/>
    <w:rsid w:val="008A40A6"/>
    <w:rsid w:val="008C019D"/>
    <w:rsid w:val="008D349C"/>
    <w:rsid w:val="009C06B5"/>
    <w:rsid w:val="00A0221F"/>
    <w:rsid w:val="00A0581E"/>
    <w:rsid w:val="00A4688D"/>
    <w:rsid w:val="00AC7B0C"/>
    <w:rsid w:val="00AF34B1"/>
    <w:rsid w:val="00B00BF8"/>
    <w:rsid w:val="00B24F53"/>
    <w:rsid w:val="00B67063"/>
    <w:rsid w:val="00B80D6C"/>
    <w:rsid w:val="00B92A3D"/>
    <w:rsid w:val="00BB452E"/>
    <w:rsid w:val="00BD19BA"/>
    <w:rsid w:val="00C50EC2"/>
    <w:rsid w:val="00CF193A"/>
    <w:rsid w:val="00D103F0"/>
    <w:rsid w:val="00D65AFE"/>
    <w:rsid w:val="00D77F75"/>
    <w:rsid w:val="00D84A76"/>
    <w:rsid w:val="00DC4E34"/>
    <w:rsid w:val="00E167A1"/>
    <w:rsid w:val="00E502C9"/>
    <w:rsid w:val="00E5188F"/>
    <w:rsid w:val="00EB574E"/>
    <w:rsid w:val="00F444FD"/>
    <w:rsid w:val="00F61998"/>
    <w:rsid w:val="00F85F7F"/>
    <w:rsid w:val="00FB7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3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81E"/>
    <w:rPr>
      <w:rFonts w:ascii="Tahoma" w:hAnsi="Tahoma" w:cs="Tahoma"/>
      <w:sz w:val="16"/>
      <w:szCs w:val="16"/>
    </w:rPr>
  </w:style>
  <w:style w:type="paragraph" w:styleId="Header">
    <w:name w:val="header"/>
    <w:basedOn w:val="Normal"/>
    <w:link w:val="HeaderChar"/>
    <w:uiPriority w:val="99"/>
    <w:unhideWhenUsed/>
    <w:rsid w:val="008D3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9C"/>
  </w:style>
  <w:style w:type="paragraph" w:styleId="Footer">
    <w:name w:val="footer"/>
    <w:basedOn w:val="Normal"/>
    <w:link w:val="FooterChar"/>
    <w:uiPriority w:val="99"/>
    <w:unhideWhenUsed/>
    <w:rsid w:val="008D3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5039-3DC6-482B-88E2-87F2C12A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2015-09-13T10:23:00Z</dcterms:created>
  <dcterms:modified xsi:type="dcterms:W3CDTF">2015-09-20T03:57:00Z</dcterms:modified>
</cp:coreProperties>
</file>