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1E" w:rsidRDefault="006718D7" w:rsidP="00611D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CHAPTER-4</w:t>
      </w:r>
    </w:p>
    <w:p w:rsidR="00262E1E" w:rsidRDefault="00262E1E" w:rsidP="00611D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RESULTS</w:t>
      </w:r>
    </w:p>
    <w:p w:rsidR="001C6424" w:rsidRPr="00A9629F" w:rsidRDefault="00262E1E" w:rsidP="00262E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4.1 </w:t>
      </w:r>
      <w:r w:rsidR="001C6424">
        <w:rPr>
          <w:rFonts w:ascii="Times New Roman" w:hAnsi="Times New Roman" w:cs="Times New Roman"/>
          <w:b/>
          <w:sz w:val="32"/>
          <w:szCs w:val="32"/>
        </w:rPr>
        <w:t>Postoperative c</w:t>
      </w:r>
      <w:r w:rsidR="001C6424" w:rsidRPr="00A9629F">
        <w:rPr>
          <w:rFonts w:ascii="Times New Roman" w:hAnsi="Times New Roman" w:cs="Times New Roman"/>
          <w:b/>
          <w:sz w:val="32"/>
          <w:szCs w:val="32"/>
        </w:rPr>
        <w:t>are</w:t>
      </w:r>
      <w:r w:rsidR="001C6424">
        <w:rPr>
          <w:rFonts w:ascii="Times New Roman" w:hAnsi="Times New Roman" w:cs="Times New Roman"/>
          <w:b/>
          <w:sz w:val="32"/>
          <w:szCs w:val="32"/>
        </w:rPr>
        <w:t xml:space="preserve"> and progress</w:t>
      </w:r>
    </w:p>
    <w:p w:rsidR="001C6424" w:rsidRDefault="001C6424" w:rsidP="001C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20">
        <w:rPr>
          <w:rFonts w:ascii="Times New Roman" w:hAnsi="Times New Roman" w:cs="Times New Roman"/>
          <w:sz w:val="24"/>
          <w:szCs w:val="24"/>
        </w:rPr>
        <w:t>Postoperatively, the dog was monitored in the intensive care unit. Laboratory evaluation revealed a hematocrit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2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%, mature neutrophilia (29 × 10</w:t>
      </w:r>
      <w:r w:rsidRPr="00BA16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cells/μL )</w:t>
      </w:r>
      <w:r w:rsidRPr="008E2C20">
        <w:rPr>
          <w:rFonts w:ascii="Times New Roman" w:hAnsi="Times New Roman" w:cs="Times New Roman"/>
          <w:sz w:val="24"/>
          <w:szCs w:val="24"/>
        </w:rPr>
        <w:t xml:space="preserve"> and leukocytosis (31 × 10</w:t>
      </w:r>
      <w:r w:rsidRPr="00BA164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E2C20">
        <w:rPr>
          <w:rFonts w:ascii="Times New Roman" w:hAnsi="Times New Roman" w:cs="Times New Roman"/>
          <w:sz w:val="24"/>
          <w:szCs w:val="24"/>
        </w:rPr>
        <w:t>cells/μL).</w:t>
      </w:r>
      <w:r>
        <w:rPr>
          <w:rFonts w:ascii="Times New Roman" w:hAnsi="Times New Roman" w:cs="Times New Roman"/>
          <w:sz w:val="24"/>
          <w:szCs w:val="24"/>
        </w:rPr>
        <w:t xml:space="preserve">The ampicillin (40mg/kg Tid) and metronidazole (10mg/kg Bid) were injected  intravenously to decrease leucocytosis. </w:t>
      </w:r>
      <w:r w:rsidRPr="008E2C20">
        <w:rPr>
          <w:rFonts w:ascii="Times New Roman" w:hAnsi="Times New Roman" w:cs="Times New Roman"/>
          <w:sz w:val="24"/>
          <w:szCs w:val="24"/>
        </w:rPr>
        <w:t>The total protein concentration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20">
        <w:rPr>
          <w:rFonts w:ascii="Times New Roman" w:hAnsi="Times New Roman" w:cs="Times New Roman"/>
          <w:sz w:val="24"/>
          <w:szCs w:val="24"/>
        </w:rPr>
        <w:t xml:space="preserve">decreased to 3.3 g/dL (reference range: 5.6–7.3 </w:t>
      </w:r>
      <w:r w:rsidRPr="00154069">
        <w:rPr>
          <w:rFonts w:ascii="Times New Roman" w:hAnsi="Times New Roman" w:cs="Times New Roman"/>
          <w:sz w:val="24"/>
          <w:szCs w:val="24"/>
        </w:rPr>
        <w:t>g/dL), and the albumin</w:t>
      </w:r>
      <w:r>
        <w:rPr>
          <w:rFonts w:ascii="Times New Roman" w:hAnsi="Times New Roman" w:cs="Times New Roman"/>
          <w:sz w:val="24"/>
          <w:szCs w:val="24"/>
        </w:rPr>
        <w:t xml:space="preserve"> concentration was 1.5 g/dL (ref</w:t>
      </w:r>
      <w:r w:rsidRPr="00154069">
        <w:rPr>
          <w:rFonts w:ascii="Times New Roman" w:hAnsi="Times New Roman" w:cs="Times New Roman"/>
          <w:sz w:val="24"/>
          <w:szCs w:val="24"/>
        </w:rPr>
        <w:t>erence range: 3.1–4.1 g/dL). The calcium concentration had decreased to 8.1 mg/dL (reference range: 9.3–11.4 mg/dL), and the sodium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069">
        <w:rPr>
          <w:rFonts w:ascii="Times New Roman" w:hAnsi="Times New Roman" w:cs="Times New Roman"/>
          <w:sz w:val="24"/>
          <w:szCs w:val="24"/>
        </w:rPr>
        <w:t>and chloride concentrations were high at 158 mmol/L (reference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069">
        <w:rPr>
          <w:rFonts w:ascii="Times New Roman" w:hAnsi="Times New Roman" w:cs="Times New Roman"/>
          <w:sz w:val="24"/>
          <w:szCs w:val="24"/>
        </w:rPr>
        <w:t>range: 146–154 mmol/L) and 127 mmol/L (reference range: 107–117 mmol/L), respectively. The dog received two 240-mL transfusions of fresh frozen plasma. Clindamycin (10 mg/kg [4.5 mg/lb] IV q8h) and enrofloxacin (7.5 mg/kg [3.4 mg/lb] IV q12h) were administered because of 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069">
        <w:rPr>
          <w:rFonts w:ascii="Times New Roman" w:hAnsi="Times New Roman" w:cs="Times New Roman"/>
          <w:sz w:val="24"/>
          <w:szCs w:val="24"/>
        </w:rPr>
        <w:t>gastric</w:t>
      </w:r>
      <w:r>
        <w:rPr>
          <w:rFonts w:ascii="Times New Roman" w:hAnsi="Times New Roman" w:cs="Times New Roman"/>
          <w:sz w:val="24"/>
          <w:szCs w:val="24"/>
        </w:rPr>
        <w:t xml:space="preserve"> and enteric</w:t>
      </w:r>
      <w:r w:rsidRPr="00154069">
        <w:rPr>
          <w:rFonts w:ascii="Times New Roman" w:hAnsi="Times New Roman" w:cs="Times New Roman"/>
          <w:sz w:val="24"/>
          <w:szCs w:val="24"/>
        </w:rPr>
        <w:t xml:space="preserve"> compromise. Maropitant citrate (1 mg/kg [0.45 mg/lb] SC q24h) and a constant-rate infusion of metoclopramide (1 mg/kg</w:t>
      </w:r>
      <w:r>
        <w:rPr>
          <w:rFonts w:ascii="Times New Roman" w:hAnsi="Times New Roman" w:cs="Times New Roman"/>
          <w:sz w:val="24"/>
          <w:szCs w:val="24"/>
        </w:rPr>
        <w:t>/d [0.45 mg/lb/d]) were injected</w:t>
      </w:r>
      <w:r w:rsidRPr="00154069">
        <w:rPr>
          <w:rFonts w:ascii="Times New Roman" w:hAnsi="Times New Roman" w:cs="Times New Roman"/>
          <w:sz w:val="24"/>
          <w:szCs w:val="24"/>
        </w:rPr>
        <w:t xml:space="preserve"> to prevent vomiting. Pantoprazole (1 mg/kg [0.45 mg/lb] IV q24h), famotidine (0.5 mg/kg [0.22 mg/lb] IV q12h), and sucralfate (1 g PO q8h) were administered to t</w:t>
      </w:r>
      <w:r>
        <w:rPr>
          <w:rFonts w:ascii="Times New Roman" w:hAnsi="Times New Roman" w:cs="Times New Roman"/>
          <w:sz w:val="24"/>
          <w:szCs w:val="24"/>
        </w:rPr>
        <w:t xml:space="preserve">reat and prevent  </w:t>
      </w:r>
      <w:r w:rsidRPr="00154069">
        <w:rPr>
          <w:rFonts w:ascii="Times New Roman" w:hAnsi="Times New Roman" w:cs="Times New Roman"/>
          <w:sz w:val="24"/>
          <w:szCs w:val="24"/>
        </w:rPr>
        <w:t>gastritis. Intravenous fluids with potassium supplementation (Normosol-R [Abbott Animal Health] with 16 mEq/L of potassium chloride) were administered at 90 mL/kg/d (41 mL/lb/d) IV.</w:t>
      </w:r>
      <w:r w:rsidR="003A1EE2" w:rsidRPr="003A1EE2">
        <w:rPr>
          <w:rFonts w:ascii="Times New Roman" w:hAnsi="Times New Roman" w:cs="Times New Roman"/>
          <w:sz w:val="24"/>
          <w:szCs w:val="24"/>
        </w:rPr>
        <w:t xml:space="preserve"> </w:t>
      </w:r>
      <w:r w:rsidR="003A1EE2">
        <w:rPr>
          <w:rFonts w:ascii="Times New Roman" w:hAnsi="Times New Roman" w:cs="Times New Roman"/>
          <w:sz w:val="24"/>
          <w:szCs w:val="24"/>
        </w:rPr>
        <w:t xml:space="preserve">For pain management, </w:t>
      </w:r>
      <w:r w:rsidR="003A1EE2" w:rsidRPr="00154069">
        <w:rPr>
          <w:rFonts w:ascii="Times New Roman" w:hAnsi="Times New Roman" w:cs="Times New Roman"/>
          <w:sz w:val="24"/>
          <w:szCs w:val="24"/>
        </w:rPr>
        <w:t xml:space="preserve"> lidocaine (50 μL/kg/h [22.7 μL/lb/h]) and fentanyl (3 μL/kg/h [1.36 μL/lb/h]) were administered as constant-rate infusions</w:t>
      </w:r>
      <w:r w:rsidRPr="00154069">
        <w:rPr>
          <w:rFonts w:ascii="Times New Roman" w:hAnsi="Times New Roman" w:cs="Times New Roman"/>
          <w:sz w:val="24"/>
          <w:szCs w:val="24"/>
        </w:rPr>
        <w:t xml:space="preserve"> After surgery, the patient recovered slowly </w:t>
      </w:r>
      <w:r w:rsidR="00F107C8">
        <w:rPr>
          <w:rFonts w:ascii="Times New Roman" w:hAnsi="Times New Roman" w:cs="Times New Roman"/>
          <w:sz w:val="24"/>
          <w:szCs w:val="24"/>
        </w:rPr>
        <w:t>and did not vomit</w:t>
      </w:r>
      <w:r w:rsidRPr="00154069">
        <w:rPr>
          <w:rFonts w:ascii="Times New Roman" w:hAnsi="Times New Roman" w:cs="Times New Roman"/>
          <w:sz w:val="24"/>
          <w:szCs w:val="24"/>
        </w:rPr>
        <w:t xml:space="preserve"> for 5 days, after which the patient regurgitated once daily.</w:t>
      </w:r>
      <w:r>
        <w:rPr>
          <w:rFonts w:ascii="Times New Roman" w:hAnsi="Times New Roman" w:cs="Times New Roman"/>
          <w:sz w:val="24"/>
          <w:szCs w:val="24"/>
        </w:rPr>
        <w:t>Two days after surgery, abdominal</w:t>
      </w:r>
      <w:r w:rsidRPr="00154069">
        <w:rPr>
          <w:rFonts w:ascii="Times New Roman" w:hAnsi="Times New Roman" w:cs="Times New Roman"/>
          <w:sz w:val="24"/>
          <w:szCs w:val="24"/>
        </w:rPr>
        <w:t xml:space="preserve"> radiography showed  lines and </w:t>
      </w:r>
      <w:r>
        <w:rPr>
          <w:rFonts w:ascii="Times New Roman" w:hAnsi="Times New Roman" w:cs="Times New Roman"/>
          <w:sz w:val="24"/>
          <w:szCs w:val="24"/>
        </w:rPr>
        <w:t>a less severely dilated  affected ileocolic junction.</w:t>
      </w:r>
      <w:r w:rsidRPr="00154069">
        <w:rPr>
          <w:rFonts w:ascii="Times New Roman" w:hAnsi="Times New Roman" w:cs="Times New Roman"/>
          <w:sz w:val="24"/>
          <w:szCs w:val="24"/>
        </w:rPr>
        <w:t xml:space="preserve"> The dog was fed via a gastrostomy tub</w:t>
      </w:r>
      <w:r w:rsidR="00F107C8">
        <w:rPr>
          <w:rFonts w:ascii="Times New Roman" w:hAnsi="Times New Roman" w:cs="Times New Roman"/>
          <w:sz w:val="24"/>
          <w:szCs w:val="24"/>
        </w:rPr>
        <w:t>e for 5</w:t>
      </w:r>
      <w:r>
        <w:rPr>
          <w:rFonts w:ascii="Times New Roman" w:hAnsi="Times New Roman" w:cs="Times New Roman"/>
          <w:sz w:val="24"/>
          <w:szCs w:val="24"/>
        </w:rPr>
        <w:t xml:space="preserve"> days after surgery; </w:t>
      </w:r>
      <w:r w:rsidRPr="00154069">
        <w:rPr>
          <w:rFonts w:ascii="Times New Roman" w:hAnsi="Times New Roman" w:cs="Times New Roman"/>
          <w:sz w:val="24"/>
          <w:szCs w:val="24"/>
        </w:rPr>
        <w:t>Enteral medications were administered via the gastrostomy tube. Medical management included tramadol (2.7 mg/kg [1.2 mg/ lb] q12h), omeprazole (1 mg/kg [0.45 mg/lb] q24h), sucralfate (1 g slurry q8h), and metoclopramide (0.25 mg/kg [0.11 mg/lb] q8h before feeding).</w:t>
      </w:r>
      <w:r w:rsidR="00166660">
        <w:rPr>
          <w:rFonts w:ascii="Times New Roman" w:hAnsi="Times New Roman" w:cs="Times New Roman"/>
          <w:sz w:val="24"/>
          <w:szCs w:val="24"/>
        </w:rPr>
        <w:t>Postoperatively,</w:t>
      </w:r>
      <w:r w:rsidRPr="00154069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>oad-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spectruantibiotic </w:t>
      </w:r>
      <w:r w:rsidRPr="00154069">
        <w:rPr>
          <w:rFonts w:ascii="Times New Roman" w:hAnsi="Times New Roman" w:cs="Times New Roman"/>
          <w:sz w:val="24"/>
          <w:szCs w:val="24"/>
        </w:rPr>
        <w:t>ciprofloxacin (6.75 mg/kg [3 mg/lb] q12h) and clindamycin (12 mg/kg [5.4 mg/lb] q8h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Pr="00154069">
        <w:rPr>
          <w:rFonts w:ascii="Times New Roman" w:hAnsi="Times New Roman" w:cs="Times New Roman"/>
          <w:sz w:val="24"/>
          <w:szCs w:val="24"/>
        </w:rPr>
        <w:t>continued</w:t>
      </w:r>
      <w:r w:rsidR="00166660">
        <w:rPr>
          <w:rFonts w:ascii="Times New Roman" w:hAnsi="Times New Roman" w:cs="Times New Roman"/>
          <w:sz w:val="24"/>
          <w:szCs w:val="24"/>
        </w:rPr>
        <w:t xml:space="preserve"> for prevent the secondary bacterial infection of dog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424" w:rsidRDefault="001C6424" w:rsidP="001C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24" w:rsidRDefault="001C6424" w:rsidP="001C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24" w:rsidRDefault="00262E1E" w:rsidP="00262E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4.2 </w:t>
      </w:r>
      <w:r w:rsidR="001C6424" w:rsidRPr="009942DD">
        <w:rPr>
          <w:rFonts w:ascii="Times New Roman" w:hAnsi="Times New Roman" w:cs="Times New Roman"/>
          <w:b/>
          <w:sz w:val="32"/>
          <w:szCs w:val="32"/>
        </w:rPr>
        <w:t>Outcome</w:t>
      </w:r>
    </w:p>
    <w:p w:rsidR="001C6424" w:rsidRPr="00154069" w:rsidRDefault="001C6424" w:rsidP="001C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Five days after surgery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 xml:space="preserve"> the patient removed the gastrostomy tube </w:t>
      </w:r>
      <w:r>
        <w:rPr>
          <w:rFonts w:ascii="Times New Roman" w:hAnsi="Times New Roman" w:cs="Times New Roman"/>
          <w:color w:val="000000"/>
          <w:sz w:val="24"/>
          <w:szCs w:val="24"/>
        </w:rPr>
        <w:t>. A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>fter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week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 xml:space="preserve">surgery, </w:t>
      </w:r>
      <w:r w:rsidRPr="00154069">
        <w:rPr>
          <w:rFonts w:ascii="Times New Roman" w:hAnsi="Times New Roman" w:cs="Times New Roman"/>
          <w:sz w:val="24"/>
          <w:szCs w:val="24"/>
        </w:rPr>
        <w:t>the patient recovered slowly and did not vomit</w:t>
      </w:r>
      <w:r>
        <w:rPr>
          <w:rFonts w:ascii="Times New Roman" w:hAnsi="Times New Roman" w:cs="Times New Roman"/>
          <w:color w:val="000000"/>
          <w:sz w:val="24"/>
          <w:szCs w:val="24"/>
        </w:rPr>
        <w:t>. Abdominal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 xml:space="preserve"> radiography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endoscopy of the 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 xml:space="preserve"> gastrointestinal tract were </w:t>
      </w:r>
      <w:r>
        <w:rPr>
          <w:rFonts w:ascii="Times New Roman" w:hAnsi="Times New Roman" w:cs="Times New Roman"/>
          <w:color w:val="000000"/>
          <w:sz w:val="24"/>
          <w:szCs w:val="24"/>
        </w:rPr>
        <w:t>conducted 7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 xml:space="preserve"> days after initial presentation and surgery.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Radiography showed </w:t>
      </w:r>
      <w:r>
        <w:rPr>
          <w:rFonts w:ascii="Times New Roman" w:hAnsi="Times New Roman" w:cs="Times New Roman"/>
          <w:sz w:val="24"/>
          <w:szCs w:val="24"/>
        </w:rPr>
        <w:t>lines and less dilated affected ileocolic junction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an accumulation of gas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 xml:space="preserve"> and digested food </w:t>
      </w:r>
      <w:r>
        <w:rPr>
          <w:rFonts w:ascii="Times New Roman" w:hAnsi="Times New Roman" w:cs="Times New Roman"/>
          <w:color w:val="000000"/>
          <w:sz w:val="24"/>
          <w:szCs w:val="24"/>
        </w:rPr>
        <w:t>proximal to the lower intestinal part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Intestinal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 xml:space="preserve"> mucosa also appeared normal, and the </w:t>
      </w:r>
      <w:r>
        <w:rPr>
          <w:rFonts w:ascii="Times New Roman" w:hAnsi="Times New Roman" w:cs="Times New Roman"/>
          <w:color w:val="000000"/>
          <w:sz w:val="24"/>
          <w:szCs w:val="24"/>
        </w:rPr>
        <w:t>intestine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 xml:space="preserve"> was fixed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position because of the enteropexies. 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>Endoscopy revealed no overt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 xml:space="preserve">cause of vomiting, and the only noted cause of regurgitation </w:t>
      </w:r>
      <w:r>
        <w:rPr>
          <w:rFonts w:ascii="Times New Roman" w:hAnsi="Times New Roman" w:cs="Times New Roman"/>
          <w:color w:val="000000"/>
          <w:sz w:val="24"/>
          <w:szCs w:val="24"/>
        </w:rPr>
        <w:t>was gastritis</w:t>
      </w:r>
      <w:r w:rsidRPr="001540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544B">
        <w:rPr>
          <w:rFonts w:ascii="Times New Roman" w:hAnsi="Times New Roman" w:cs="Times New Roman"/>
          <w:color w:val="000000"/>
          <w:sz w:val="24"/>
          <w:szCs w:val="24"/>
        </w:rPr>
        <w:t xml:space="preserve"> Postoperatively</w:t>
      </w:r>
      <w:r w:rsidR="005907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344E">
        <w:rPr>
          <w:rFonts w:ascii="Times New Roman" w:hAnsi="Times New Roman" w:cs="Times New Roman"/>
          <w:sz w:val="24"/>
          <w:szCs w:val="24"/>
        </w:rPr>
        <w:t xml:space="preserve"> </w:t>
      </w:r>
      <w:r w:rsidR="001A544B">
        <w:rPr>
          <w:rFonts w:ascii="Times New Roman" w:hAnsi="Times New Roman" w:cs="Times New Roman"/>
          <w:sz w:val="24"/>
          <w:szCs w:val="24"/>
        </w:rPr>
        <w:t>t</w:t>
      </w:r>
      <w:r w:rsidRPr="006F176C">
        <w:rPr>
          <w:rFonts w:ascii="Times New Roman" w:hAnsi="Times New Roman" w:cs="Times New Roman"/>
          <w:sz w:val="24"/>
          <w:szCs w:val="24"/>
        </w:rPr>
        <w:t>he patient was</w:t>
      </w:r>
      <w:r>
        <w:rPr>
          <w:rFonts w:ascii="Times New Roman" w:hAnsi="Times New Roman" w:cs="Times New Roman"/>
          <w:sz w:val="24"/>
          <w:szCs w:val="24"/>
        </w:rPr>
        <w:t xml:space="preserve"> recovered slowly.</w:t>
      </w:r>
      <w:r w:rsidRPr="0065344E">
        <w:rPr>
          <w:rFonts w:ascii="Times New Roman" w:hAnsi="Times New Roman" w:cs="Times New Roman"/>
          <w:sz w:val="24"/>
          <w:szCs w:val="24"/>
        </w:rPr>
        <w:t xml:space="preserve"> </w:t>
      </w:r>
      <w:r w:rsidRPr="006F176C">
        <w:rPr>
          <w:rFonts w:ascii="Times New Roman" w:hAnsi="Times New Roman" w:cs="Times New Roman"/>
          <w:sz w:val="24"/>
          <w:szCs w:val="24"/>
        </w:rPr>
        <w:t xml:space="preserve">There were no signs about recurrence of </w:t>
      </w:r>
      <w:r>
        <w:rPr>
          <w:rFonts w:ascii="Times New Roman" w:hAnsi="Times New Roman" w:cs="Times New Roman"/>
          <w:sz w:val="24"/>
          <w:szCs w:val="24"/>
        </w:rPr>
        <w:t>intussusceptions.</w:t>
      </w:r>
    </w:p>
    <w:p w:rsidR="001C6424" w:rsidRDefault="001C6424" w:rsidP="001C64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1C6424" w:rsidRDefault="001C6424" w:rsidP="001C6424">
      <w:pPr>
        <w:tabs>
          <w:tab w:val="center" w:pos="4680"/>
          <w:tab w:val="left" w:pos="8655"/>
        </w:tabs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1C6424" w:rsidRDefault="001C6424" w:rsidP="001C64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C6424" w:rsidRDefault="001C6424" w:rsidP="001C64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C6424" w:rsidRDefault="001C6424" w:rsidP="001C64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67699" w:rsidRDefault="00D67699"/>
    <w:sectPr w:rsidR="00D67699" w:rsidSect="001C6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pgNumType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C9" w:rsidRDefault="006E2EC9" w:rsidP="001C6424">
      <w:pPr>
        <w:spacing w:after="0" w:line="240" w:lineRule="auto"/>
      </w:pPr>
      <w:r>
        <w:separator/>
      </w:r>
    </w:p>
  </w:endnote>
  <w:endnote w:type="continuationSeparator" w:id="1">
    <w:p w:rsidR="006E2EC9" w:rsidRDefault="006E2EC9" w:rsidP="001C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24" w:rsidRDefault="001C64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24" w:rsidRDefault="001C642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June,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90798" w:rsidRPr="00590798">
        <w:rPr>
          <w:rFonts w:asciiTheme="majorHAnsi" w:hAnsiTheme="majorHAnsi"/>
          <w:noProof/>
        </w:rPr>
        <w:t>17</w:t>
      </w:r>
    </w:fldSimple>
  </w:p>
  <w:p w:rsidR="001C6424" w:rsidRDefault="001C64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24" w:rsidRDefault="001C6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C9" w:rsidRDefault="006E2EC9" w:rsidP="001C6424">
      <w:pPr>
        <w:spacing w:after="0" w:line="240" w:lineRule="auto"/>
      </w:pPr>
      <w:r>
        <w:separator/>
      </w:r>
    </w:p>
  </w:footnote>
  <w:footnote w:type="continuationSeparator" w:id="1">
    <w:p w:rsidR="006E2EC9" w:rsidRDefault="006E2EC9" w:rsidP="001C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24" w:rsidRDefault="001C64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24" w:rsidRPr="001C6424" w:rsidRDefault="001C64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</w:rPr>
    </w:pPr>
  </w:p>
  <w:p w:rsidR="001C6424" w:rsidRPr="001C6424" w:rsidRDefault="001C64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sz w:val="28"/>
        <w:szCs w:val="28"/>
      </w:rPr>
    </w:pPr>
  </w:p>
  <w:sdt>
    <w:sdtPr>
      <w:rPr>
        <w:sz w:val="28"/>
        <w:szCs w:val="28"/>
      </w:rPr>
      <w:alias w:val="Author"/>
      <w:id w:val="77887908"/>
      <w:placeholder>
        <w:docPart w:val="2A9433261A4242B9BCAA3B5CFE363E3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1C6424" w:rsidRPr="001C6424" w:rsidRDefault="001C642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sz w:val="28"/>
            <w:szCs w:val="28"/>
          </w:rPr>
        </w:pPr>
        <w:r w:rsidRPr="001C6424">
          <w:rPr>
            <w:sz w:val="28"/>
            <w:szCs w:val="28"/>
          </w:rPr>
          <w:t>RESULTS</w:t>
        </w:r>
      </w:p>
    </w:sdtContent>
  </w:sdt>
  <w:p w:rsidR="001C6424" w:rsidRPr="001C6424" w:rsidRDefault="001C6424">
    <w:pPr>
      <w:pStyle w:val="Head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24" w:rsidRDefault="001C64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424"/>
    <w:rsid w:val="00035268"/>
    <w:rsid w:val="000C67DC"/>
    <w:rsid w:val="001018CB"/>
    <w:rsid w:val="00166660"/>
    <w:rsid w:val="001A544B"/>
    <w:rsid w:val="001C6424"/>
    <w:rsid w:val="00262E1E"/>
    <w:rsid w:val="003A1EE2"/>
    <w:rsid w:val="00404C43"/>
    <w:rsid w:val="00577E1F"/>
    <w:rsid w:val="00590798"/>
    <w:rsid w:val="005F724E"/>
    <w:rsid w:val="00611D41"/>
    <w:rsid w:val="00662DDE"/>
    <w:rsid w:val="006718D7"/>
    <w:rsid w:val="006E2EC9"/>
    <w:rsid w:val="008108E2"/>
    <w:rsid w:val="00843ED4"/>
    <w:rsid w:val="00876E02"/>
    <w:rsid w:val="00894FFF"/>
    <w:rsid w:val="00A41E6F"/>
    <w:rsid w:val="00BA168F"/>
    <w:rsid w:val="00BD27DF"/>
    <w:rsid w:val="00C93F3E"/>
    <w:rsid w:val="00CC73FD"/>
    <w:rsid w:val="00D65EF7"/>
    <w:rsid w:val="00D67699"/>
    <w:rsid w:val="00E46735"/>
    <w:rsid w:val="00E667A6"/>
    <w:rsid w:val="00EF403E"/>
    <w:rsid w:val="00F1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4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42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9433261A4242B9BCAA3B5CFE36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DC03-FAE0-414A-94B9-41130824F544}"/>
      </w:docPartPr>
      <w:docPartBody>
        <w:p w:rsidR="00E62C96" w:rsidRDefault="001324CE" w:rsidP="001324CE">
          <w:pPr>
            <w:pStyle w:val="2A9433261A4242B9BCAA3B5CFE363E39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24CE"/>
    <w:rsid w:val="001324CE"/>
    <w:rsid w:val="00162847"/>
    <w:rsid w:val="002B0677"/>
    <w:rsid w:val="002C1235"/>
    <w:rsid w:val="002E3B5D"/>
    <w:rsid w:val="004715D5"/>
    <w:rsid w:val="004E7564"/>
    <w:rsid w:val="0073408F"/>
    <w:rsid w:val="009A3B24"/>
    <w:rsid w:val="00DE09A1"/>
    <w:rsid w:val="00E6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2723FAEEBA471985EDBB5D6E1D234D">
    <w:name w:val="D02723FAEEBA471985EDBB5D6E1D234D"/>
    <w:rsid w:val="001324CE"/>
  </w:style>
  <w:style w:type="paragraph" w:customStyle="1" w:styleId="55C276D03A5F42A0B23EED48E28F0887">
    <w:name w:val="55C276D03A5F42A0B23EED48E28F0887"/>
    <w:rsid w:val="001324CE"/>
  </w:style>
  <w:style w:type="paragraph" w:customStyle="1" w:styleId="2A9433261A4242B9BCAA3B5CFE363E39">
    <w:name w:val="2A9433261A4242B9BCAA3B5CFE363E39"/>
    <w:rsid w:val="001324CE"/>
  </w:style>
  <w:style w:type="paragraph" w:customStyle="1" w:styleId="0360D1DE1C5B4E368160C7E9B93E6CC4">
    <w:name w:val="0360D1DE1C5B4E368160C7E9B93E6CC4"/>
    <w:rsid w:val="001324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RESULTS</dc:creator>
  <cp:lastModifiedBy>DELL</cp:lastModifiedBy>
  <cp:revision>12</cp:revision>
  <dcterms:created xsi:type="dcterms:W3CDTF">2013-06-07T15:59:00Z</dcterms:created>
  <dcterms:modified xsi:type="dcterms:W3CDTF">2013-06-11T07:48:00Z</dcterms:modified>
</cp:coreProperties>
</file>