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0" w:rsidRPr="006E39A1" w:rsidRDefault="002834C0" w:rsidP="005429EB">
      <w:pPr>
        <w:jc w:val="center"/>
        <w:rPr>
          <w:rFonts w:ascii="Times New Roman" w:hAnsi="Times New Roman" w:cs="Times New Roman"/>
          <w:sz w:val="32"/>
          <w:szCs w:val="32"/>
        </w:rPr>
      </w:pPr>
      <w:r w:rsidRPr="006E39A1">
        <w:rPr>
          <w:rFonts w:ascii="Times New Roman" w:hAnsi="Times New Roman" w:cs="Times New Roman"/>
          <w:sz w:val="32"/>
          <w:szCs w:val="32"/>
        </w:rPr>
        <w:t>CHAPTER- 4</w:t>
      </w:r>
    </w:p>
    <w:p w:rsidR="002834C0" w:rsidRPr="006E39A1" w:rsidRDefault="002834C0" w:rsidP="00283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9A1">
        <w:rPr>
          <w:rFonts w:ascii="Times New Roman" w:hAnsi="Times New Roman" w:cs="Times New Roman"/>
          <w:b/>
          <w:sz w:val="36"/>
          <w:szCs w:val="36"/>
        </w:rPr>
        <w:t>RESULTS</w:t>
      </w:r>
    </w:p>
    <w:p w:rsidR="006E39A1" w:rsidRPr="006E39A1" w:rsidRDefault="002834C0" w:rsidP="00705FE0">
      <w:pPr>
        <w:rPr>
          <w:rFonts w:ascii="Times New Roman" w:hAnsi="Times New Roman" w:cs="Times New Roman"/>
          <w:b/>
          <w:sz w:val="32"/>
          <w:szCs w:val="32"/>
        </w:rPr>
      </w:pPr>
      <w:r w:rsidRPr="006E39A1">
        <w:rPr>
          <w:rFonts w:ascii="Times New Roman" w:hAnsi="Times New Roman" w:cs="Times New Roman"/>
          <w:b/>
          <w:sz w:val="32"/>
          <w:szCs w:val="32"/>
        </w:rPr>
        <w:t>4.1</w:t>
      </w:r>
      <w:r w:rsidR="006E39A1" w:rsidRPr="006E39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39A1">
        <w:rPr>
          <w:rFonts w:ascii="Times New Roman" w:hAnsi="Times New Roman" w:cs="Times New Roman"/>
          <w:b/>
          <w:sz w:val="32"/>
          <w:szCs w:val="32"/>
        </w:rPr>
        <w:t xml:space="preserve">Prevalence </w:t>
      </w:r>
      <w:r w:rsidR="006E39A1" w:rsidRPr="006E39A1">
        <w:rPr>
          <w:rFonts w:ascii="Times New Roman" w:hAnsi="Times New Roman" w:cs="Times New Roman"/>
          <w:b/>
          <w:sz w:val="32"/>
          <w:szCs w:val="32"/>
        </w:rPr>
        <w:t xml:space="preserve">of ruminal acidosis </w:t>
      </w:r>
    </w:p>
    <w:p w:rsidR="00B24B3B" w:rsidRDefault="006E39A1" w:rsidP="00B24B3B">
      <w:pPr>
        <w:rPr>
          <w:rFonts w:ascii="Times New Roman" w:hAnsi="Times New Roman" w:cs="Times New Roman"/>
          <w:b/>
          <w:sz w:val="28"/>
          <w:szCs w:val="28"/>
        </w:rPr>
      </w:pPr>
      <w:r w:rsidRPr="006E39A1">
        <w:rPr>
          <w:rFonts w:ascii="Times New Roman" w:hAnsi="Times New Roman" w:cs="Times New Roman"/>
          <w:b/>
          <w:sz w:val="28"/>
          <w:szCs w:val="28"/>
        </w:rPr>
        <w:t xml:space="preserve">4.1.1 Overall prevalence of ruminal acidosis in </w:t>
      </w:r>
      <w:r w:rsidR="00515516">
        <w:rPr>
          <w:rFonts w:ascii="Times New Roman" w:hAnsi="Times New Roman" w:cs="Times New Roman"/>
          <w:b/>
          <w:sz w:val="28"/>
          <w:szCs w:val="28"/>
        </w:rPr>
        <w:t>cattle and goat</w:t>
      </w:r>
    </w:p>
    <w:p w:rsidR="002834C0" w:rsidRPr="00B24B3B" w:rsidRDefault="002834C0" w:rsidP="00973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A1">
        <w:rPr>
          <w:rFonts w:ascii="Times New Roman" w:hAnsi="Times New Roman" w:cs="Times New Roman"/>
          <w:sz w:val="24"/>
          <w:szCs w:val="24"/>
        </w:rPr>
        <w:t>In the entire period of observation in two temporal phases</w:t>
      </w:r>
      <w:r w:rsidR="000C6CDC">
        <w:rPr>
          <w:rFonts w:ascii="Times New Roman" w:hAnsi="Times New Roman" w:cs="Times New Roman"/>
          <w:sz w:val="24"/>
          <w:szCs w:val="24"/>
        </w:rPr>
        <w:t>,</w:t>
      </w:r>
      <w:r w:rsidRPr="006E39A1">
        <w:rPr>
          <w:rFonts w:ascii="Times New Roman" w:hAnsi="Times New Roman" w:cs="Times New Roman"/>
          <w:sz w:val="24"/>
          <w:szCs w:val="24"/>
        </w:rPr>
        <w:t xml:space="preserve"> 609 ruminant animals were recorded of which 16 were identified with ruminal acidosis indicating the overa</w:t>
      </w:r>
      <w:r w:rsidR="00541B4B">
        <w:rPr>
          <w:rFonts w:ascii="Times New Roman" w:hAnsi="Times New Roman" w:cs="Times New Roman"/>
          <w:sz w:val="24"/>
          <w:szCs w:val="24"/>
        </w:rPr>
        <w:t>ll prevalence 2.6</w:t>
      </w:r>
      <w:r w:rsidR="0097346D">
        <w:rPr>
          <w:rFonts w:ascii="Times New Roman" w:hAnsi="Times New Roman" w:cs="Times New Roman"/>
          <w:sz w:val="24"/>
          <w:szCs w:val="24"/>
        </w:rPr>
        <w:t xml:space="preserve">% in </w:t>
      </w:r>
      <w:r w:rsidR="0078209F" w:rsidRPr="006E39A1">
        <w:rPr>
          <w:rFonts w:ascii="Times New Roman" w:hAnsi="Times New Roman" w:cs="Times New Roman"/>
          <w:sz w:val="24"/>
          <w:szCs w:val="24"/>
        </w:rPr>
        <w:t xml:space="preserve">ruminant </w:t>
      </w:r>
      <w:r w:rsidR="00921443">
        <w:rPr>
          <w:rFonts w:ascii="Times New Roman" w:hAnsi="Times New Roman" w:cs="Times New Roman"/>
          <w:b/>
          <w:sz w:val="24"/>
          <w:szCs w:val="24"/>
        </w:rPr>
        <w:t>(Table 2</w:t>
      </w:r>
      <w:r w:rsidR="0078209F" w:rsidRPr="006E3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pPr w:leftFromText="180" w:rightFromText="180" w:vertAnchor="text" w:horzAnchor="margin" w:tblpX="108" w:tblpY="62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770"/>
        <w:gridCol w:w="1818"/>
      </w:tblGrid>
      <w:tr w:rsidR="0078209F" w:rsidRPr="006E39A1" w:rsidTr="00B24B3B">
        <w:trPr>
          <w:trHeight w:val="440"/>
        </w:trPr>
        <w:tc>
          <w:tcPr>
            <w:tcW w:w="2700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Total no. of animal recorded</w:t>
            </w:r>
          </w:p>
        </w:tc>
        <w:tc>
          <w:tcPr>
            <w:tcW w:w="4770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No. of animal affected with ruminal acidosis</w:t>
            </w:r>
          </w:p>
        </w:tc>
        <w:tc>
          <w:tcPr>
            <w:tcW w:w="1818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Prevalence (%)</w:t>
            </w:r>
          </w:p>
        </w:tc>
      </w:tr>
      <w:tr w:rsidR="0078209F" w:rsidRPr="006E39A1" w:rsidTr="00B24B3B">
        <w:trPr>
          <w:trHeight w:val="261"/>
        </w:trPr>
        <w:tc>
          <w:tcPr>
            <w:tcW w:w="2700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770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78209F" w:rsidRPr="006E39A1" w:rsidRDefault="0078209F" w:rsidP="00B2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</w:tbl>
    <w:p w:rsidR="0078209F" w:rsidRPr="006E39A1" w:rsidRDefault="00921443" w:rsidP="0078209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 2</w:t>
      </w:r>
      <w:r w:rsidR="0078209F" w:rsidRPr="006E39A1">
        <w:rPr>
          <w:rFonts w:ascii="Times New Roman" w:hAnsi="Times New Roman" w:cs="Times New Roman"/>
          <w:b/>
          <w:sz w:val="28"/>
          <w:szCs w:val="24"/>
        </w:rPr>
        <w:t>:</w:t>
      </w:r>
      <w:r w:rsidR="00864960">
        <w:rPr>
          <w:rFonts w:ascii="Times New Roman" w:hAnsi="Times New Roman" w:cs="Times New Roman"/>
          <w:sz w:val="28"/>
          <w:szCs w:val="24"/>
        </w:rPr>
        <w:t xml:space="preserve"> The overall p</w:t>
      </w:r>
      <w:r w:rsidR="0078209F" w:rsidRPr="006E39A1">
        <w:rPr>
          <w:rFonts w:ascii="Times New Roman" w:hAnsi="Times New Roman" w:cs="Times New Roman"/>
          <w:sz w:val="28"/>
          <w:szCs w:val="24"/>
        </w:rPr>
        <w:t xml:space="preserve">revalence of ruminal acidosis in </w:t>
      </w:r>
      <w:r w:rsidR="00515516">
        <w:rPr>
          <w:rFonts w:ascii="Times New Roman" w:hAnsi="Times New Roman" w:cs="Times New Roman"/>
          <w:sz w:val="28"/>
          <w:szCs w:val="24"/>
        </w:rPr>
        <w:t>cattle and goat</w:t>
      </w:r>
    </w:p>
    <w:p w:rsidR="005429EB" w:rsidRDefault="005429EB" w:rsidP="00705FE0">
      <w:pPr>
        <w:rPr>
          <w:rFonts w:ascii="Times New Roman" w:hAnsi="Times New Roman" w:cs="Times New Roman"/>
          <w:sz w:val="24"/>
          <w:szCs w:val="24"/>
        </w:rPr>
      </w:pPr>
    </w:p>
    <w:p w:rsidR="002834C0" w:rsidRPr="006E39A1" w:rsidRDefault="006E39A1" w:rsidP="00705FE0">
      <w:pPr>
        <w:rPr>
          <w:rFonts w:ascii="Times New Roman" w:hAnsi="Times New Roman" w:cs="Times New Roman"/>
          <w:b/>
          <w:sz w:val="28"/>
          <w:szCs w:val="24"/>
        </w:rPr>
      </w:pPr>
      <w:r w:rsidRPr="006E39A1">
        <w:rPr>
          <w:rFonts w:ascii="Times New Roman" w:hAnsi="Times New Roman" w:cs="Times New Roman"/>
          <w:b/>
          <w:sz w:val="28"/>
          <w:szCs w:val="24"/>
        </w:rPr>
        <w:t>4.1.2</w:t>
      </w:r>
      <w:r w:rsidR="002834C0" w:rsidRPr="006E39A1">
        <w:rPr>
          <w:rFonts w:ascii="Times New Roman" w:hAnsi="Times New Roman" w:cs="Times New Roman"/>
          <w:b/>
          <w:sz w:val="28"/>
          <w:szCs w:val="24"/>
        </w:rPr>
        <w:t xml:space="preserve"> Prevalence of ruminal acidosis in different species</w:t>
      </w:r>
    </w:p>
    <w:p w:rsidR="0078209F" w:rsidRPr="006E39A1" w:rsidRDefault="0078209F" w:rsidP="00993972">
      <w:pPr>
        <w:jc w:val="both"/>
        <w:rPr>
          <w:rFonts w:ascii="Times New Roman" w:hAnsi="Times New Roman" w:cs="Times New Roman"/>
          <w:sz w:val="24"/>
          <w:szCs w:val="24"/>
        </w:rPr>
      </w:pPr>
      <w:r w:rsidRPr="006E39A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21443">
        <w:rPr>
          <w:rFonts w:ascii="Times New Roman" w:hAnsi="Times New Roman" w:cs="Times New Roman"/>
          <w:b/>
          <w:sz w:val="24"/>
          <w:szCs w:val="24"/>
        </w:rPr>
        <w:t>3</w:t>
      </w:r>
      <w:r w:rsidRPr="006E39A1">
        <w:rPr>
          <w:rFonts w:ascii="Times New Roman" w:hAnsi="Times New Roman" w:cs="Times New Roman"/>
          <w:sz w:val="24"/>
          <w:szCs w:val="24"/>
        </w:rPr>
        <w:t xml:space="preserve"> shows the prevalence of ruminal acidosis in different species. </w:t>
      </w:r>
      <w:r w:rsidR="00705FE0" w:rsidRPr="006E39A1">
        <w:rPr>
          <w:rFonts w:ascii="Times New Roman" w:hAnsi="Times New Roman" w:cs="Times New Roman"/>
          <w:sz w:val="24"/>
          <w:szCs w:val="24"/>
        </w:rPr>
        <w:t xml:space="preserve">There were found different prevalence among the </w:t>
      </w:r>
      <w:r w:rsidR="00541B4B">
        <w:rPr>
          <w:rFonts w:ascii="Times New Roman" w:hAnsi="Times New Roman" w:cs="Times New Roman"/>
          <w:sz w:val="24"/>
          <w:szCs w:val="24"/>
        </w:rPr>
        <w:t>cattle and goat, these were 4</w:t>
      </w:r>
      <w:r w:rsidR="002E46E3">
        <w:rPr>
          <w:rFonts w:ascii="Times New Roman" w:hAnsi="Times New Roman" w:cs="Times New Roman"/>
          <w:sz w:val="24"/>
          <w:szCs w:val="24"/>
        </w:rPr>
        <w:t>.04</w:t>
      </w:r>
      <w:r w:rsidR="00511F2A">
        <w:rPr>
          <w:rFonts w:ascii="Times New Roman" w:hAnsi="Times New Roman" w:cs="Times New Roman"/>
          <w:sz w:val="24"/>
          <w:szCs w:val="24"/>
        </w:rPr>
        <w:t>% in cattle and</w:t>
      </w:r>
      <w:r w:rsidR="00541B4B">
        <w:rPr>
          <w:rFonts w:ascii="Times New Roman" w:hAnsi="Times New Roman" w:cs="Times New Roman"/>
          <w:sz w:val="24"/>
          <w:szCs w:val="24"/>
        </w:rPr>
        <w:t xml:space="preserve"> 1.9</w:t>
      </w:r>
      <w:r w:rsidR="000C6CDC">
        <w:rPr>
          <w:rFonts w:ascii="Times New Roman" w:hAnsi="Times New Roman" w:cs="Times New Roman"/>
          <w:sz w:val="24"/>
          <w:szCs w:val="24"/>
        </w:rPr>
        <w:t>% in goat,</w:t>
      </w:r>
      <w:r w:rsidR="00511F2A">
        <w:rPr>
          <w:rFonts w:ascii="Times New Roman" w:hAnsi="Times New Roman" w:cs="Times New Roman"/>
          <w:sz w:val="24"/>
          <w:szCs w:val="24"/>
        </w:rPr>
        <w:t xml:space="preserve"> this difference was not statistically significant</w:t>
      </w:r>
      <w:r w:rsidR="00705FE0" w:rsidRPr="006E39A1">
        <w:rPr>
          <w:rFonts w:ascii="Times New Roman" w:hAnsi="Times New Roman" w:cs="Times New Roman"/>
          <w:sz w:val="24"/>
          <w:szCs w:val="24"/>
        </w:rPr>
        <w:t xml:space="preserve"> (p</w:t>
      </w:r>
      <w:r w:rsidR="00541B4B">
        <w:rPr>
          <w:rFonts w:ascii="Times New Roman" w:hAnsi="Times New Roman" w:cs="Times New Roman"/>
          <w:sz w:val="24"/>
          <w:szCs w:val="24"/>
        </w:rPr>
        <w:t xml:space="preserve"> = 0.11</w:t>
      </w:r>
      <w:r w:rsidR="00705FE0" w:rsidRPr="006E39A1">
        <w:rPr>
          <w:rFonts w:ascii="Times New Roman" w:hAnsi="Times New Roman" w:cs="Times New Roman"/>
          <w:sz w:val="24"/>
          <w:szCs w:val="24"/>
        </w:rPr>
        <w:t>)</w:t>
      </w:r>
      <w:r w:rsidRPr="006E39A1">
        <w:rPr>
          <w:rFonts w:ascii="Times New Roman" w:hAnsi="Times New Roman" w:cs="Times New Roman"/>
          <w:sz w:val="24"/>
          <w:szCs w:val="24"/>
        </w:rPr>
        <w:t>.</w:t>
      </w:r>
    </w:p>
    <w:p w:rsidR="0078209F" w:rsidRPr="006E39A1" w:rsidRDefault="00921443" w:rsidP="00705FE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 3</w:t>
      </w:r>
      <w:r w:rsidR="0078209F" w:rsidRPr="006E39A1">
        <w:rPr>
          <w:rFonts w:ascii="Times New Roman" w:hAnsi="Times New Roman" w:cs="Times New Roman"/>
          <w:b/>
          <w:sz w:val="28"/>
          <w:szCs w:val="24"/>
        </w:rPr>
        <w:t>:</w:t>
      </w:r>
      <w:r w:rsidR="0078209F" w:rsidRPr="006E39A1">
        <w:rPr>
          <w:rFonts w:ascii="Times New Roman" w:hAnsi="Times New Roman" w:cs="Times New Roman"/>
          <w:sz w:val="28"/>
          <w:szCs w:val="24"/>
        </w:rPr>
        <w:t xml:space="preserve"> Prevalence of ruminal acidosis in different species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63"/>
        <w:gridCol w:w="2277"/>
        <w:gridCol w:w="1890"/>
        <w:gridCol w:w="990"/>
        <w:gridCol w:w="1350"/>
        <w:gridCol w:w="990"/>
        <w:gridCol w:w="900"/>
      </w:tblGrid>
      <w:tr w:rsidR="0036480F" w:rsidRPr="006E39A1" w:rsidTr="00B24B3B">
        <w:tc>
          <w:tcPr>
            <w:tcW w:w="963" w:type="dxa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277" w:type="dxa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No. of positive cases</w:t>
            </w:r>
          </w:p>
        </w:tc>
        <w:tc>
          <w:tcPr>
            <w:tcW w:w="1890" w:type="dxa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No. of negative cases</w:t>
            </w:r>
          </w:p>
        </w:tc>
        <w:tc>
          <w:tcPr>
            <w:tcW w:w="990" w:type="dxa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350" w:type="dxa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Prevalence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9">
              <w:rPr>
                <w:rFonts w:ascii="Lucida Calligraphy" w:hAnsi="Lucida Calligraphy" w:cs="Times New Roman"/>
                <w:b/>
                <w:sz w:val="24"/>
                <w:szCs w:val="24"/>
              </w:rPr>
              <w:t>X</w:t>
            </w:r>
            <w:r w:rsidRPr="006E4479">
              <w:rPr>
                <w:rFonts w:ascii="Lucida Calligraphy" w:hAnsi="Lucida Calligraphy" w:cs="Times New Roman"/>
                <w:b/>
                <w:sz w:val="24"/>
                <w:szCs w:val="24"/>
                <w:vertAlign w:val="superscript"/>
              </w:rPr>
              <w:t>2</w:t>
            </w:r>
            <w:r w:rsidRPr="006E39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0F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6480F" w:rsidRPr="006E39A1" w:rsidTr="00B24B3B">
        <w:tc>
          <w:tcPr>
            <w:tcW w:w="963" w:type="dxa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2277" w:type="dxa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0" w:type="dxa"/>
          </w:tcPr>
          <w:p w:rsidR="00705FE0" w:rsidRPr="006E39A1" w:rsidRDefault="00541B4B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6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F2B54" w:rsidRPr="006E3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FE0" w:rsidRPr="006E39A1" w:rsidRDefault="0036480F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4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80F" w:rsidRPr="006E39A1" w:rsidTr="00B24B3B">
        <w:tc>
          <w:tcPr>
            <w:tcW w:w="963" w:type="dxa"/>
          </w:tcPr>
          <w:p w:rsidR="00705FE0" w:rsidRPr="006E39A1" w:rsidRDefault="0036480F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2277" w:type="dxa"/>
          </w:tcPr>
          <w:p w:rsidR="00705FE0" w:rsidRPr="006E39A1" w:rsidRDefault="0036480F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705FE0" w:rsidRPr="006E39A1" w:rsidRDefault="0036480F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0" w:type="dxa"/>
          </w:tcPr>
          <w:p w:rsidR="00705FE0" w:rsidRPr="006E39A1" w:rsidRDefault="0036480F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50" w:type="dxa"/>
          </w:tcPr>
          <w:p w:rsidR="00705FE0" w:rsidRPr="006E39A1" w:rsidRDefault="00541B4B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E0" w:rsidRPr="006E39A1" w:rsidRDefault="00705FE0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E0" w:rsidRPr="006E39A1" w:rsidRDefault="00705FE0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E0" w:rsidRPr="006E39A1" w:rsidTr="00B24B3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8460" w:type="dxa"/>
          <w:trHeight w:val="100"/>
        </w:trPr>
        <w:tc>
          <w:tcPr>
            <w:tcW w:w="900" w:type="dxa"/>
            <w:tcBorders>
              <w:top w:val="single" w:sz="4" w:space="0" w:color="auto"/>
            </w:tcBorders>
          </w:tcPr>
          <w:p w:rsidR="00705FE0" w:rsidRPr="006E39A1" w:rsidRDefault="00705FE0" w:rsidP="006E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FE0" w:rsidRPr="006E39A1" w:rsidRDefault="006E39A1" w:rsidP="00705FE0">
      <w:pPr>
        <w:rPr>
          <w:rFonts w:ascii="Times New Roman" w:hAnsi="Times New Roman" w:cs="Times New Roman"/>
          <w:b/>
          <w:sz w:val="28"/>
          <w:szCs w:val="24"/>
        </w:rPr>
      </w:pPr>
      <w:r w:rsidRPr="006E39A1">
        <w:rPr>
          <w:rFonts w:ascii="Times New Roman" w:hAnsi="Times New Roman" w:cs="Times New Roman"/>
          <w:b/>
          <w:sz w:val="28"/>
          <w:szCs w:val="24"/>
        </w:rPr>
        <w:t>4.1.3</w:t>
      </w:r>
      <w:r w:rsidR="0036480F" w:rsidRPr="006E39A1">
        <w:rPr>
          <w:rFonts w:ascii="Times New Roman" w:hAnsi="Times New Roman" w:cs="Times New Roman"/>
          <w:b/>
          <w:sz w:val="28"/>
          <w:szCs w:val="24"/>
        </w:rPr>
        <w:t xml:space="preserve"> Prevalence of ruminal acidosis </w:t>
      </w:r>
      <w:r w:rsidR="00515516">
        <w:rPr>
          <w:rFonts w:ascii="Times New Roman" w:hAnsi="Times New Roman" w:cs="Times New Roman"/>
          <w:b/>
          <w:sz w:val="28"/>
          <w:szCs w:val="24"/>
        </w:rPr>
        <w:t>according to</w:t>
      </w:r>
      <w:r w:rsidR="0036480F" w:rsidRPr="006E39A1">
        <w:rPr>
          <w:rFonts w:ascii="Times New Roman" w:hAnsi="Times New Roman" w:cs="Times New Roman"/>
          <w:b/>
          <w:sz w:val="28"/>
          <w:szCs w:val="24"/>
        </w:rPr>
        <w:t xml:space="preserve"> sex in cattle</w:t>
      </w:r>
      <w:r w:rsidR="00CC2283" w:rsidRPr="006E39A1">
        <w:rPr>
          <w:rFonts w:ascii="Times New Roman" w:hAnsi="Times New Roman" w:cs="Times New Roman"/>
          <w:b/>
          <w:sz w:val="28"/>
          <w:szCs w:val="24"/>
        </w:rPr>
        <w:t xml:space="preserve"> and goat</w:t>
      </w:r>
    </w:p>
    <w:p w:rsidR="008148CD" w:rsidRPr="008916E0" w:rsidRDefault="0078209F" w:rsidP="001568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9A1">
        <w:rPr>
          <w:rFonts w:ascii="Times New Roman" w:hAnsi="Times New Roman" w:cs="Times New Roman"/>
          <w:b/>
          <w:sz w:val="24"/>
          <w:szCs w:val="24"/>
        </w:rPr>
        <w:t>Table 4</w:t>
      </w:r>
      <w:r w:rsidRPr="006E39A1">
        <w:rPr>
          <w:rFonts w:ascii="Times New Roman" w:hAnsi="Times New Roman" w:cs="Times New Roman"/>
          <w:sz w:val="24"/>
          <w:szCs w:val="24"/>
        </w:rPr>
        <w:t xml:space="preserve"> shows the prevalence of ruminal acidosis in two different sexes in cattle and goat. </w:t>
      </w:r>
      <w:r w:rsidR="00511F2A">
        <w:rPr>
          <w:rFonts w:ascii="Times New Roman" w:hAnsi="Times New Roman" w:cs="Times New Roman"/>
          <w:sz w:val="24"/>
          <w:szCs w:val="24"/>
        </w:rPr>
        <w:t>There was</w:t>
      </w:r>
      <w:r w:rsidR="003C331B" w:rsidRPr="006E39A1">
        <w:rPr>
          <w:rFonts w:ascii="Times New Roman" w:hAnsi="Times New Roman" w:cs="Times New Roman"/>
          <w:sz w:val="24"/>
          <w:szCs w:val="24"/>
        </w:rPr>
        <w:t xml:space="preserve"> found no </w:t>
      </w:r>
      <w:r w:rsidR="001F2B54" w:rsidRPr="006E39A1">
        <w:rPr>
          <w:rFonts w:ascii="Times New Roman" w:hAnsi="Times New Roman" w:cs="Times New Roman"/>
          <w:sz w:val="24"/>
          <w:szCs w:val="24"/>
        </w:rPr>
        <w:t>difference in</w:t>
      </w:r>
      <w:r w:rsidR="003C331B" w:rsidRPr="006E39A1">
        <w:rPr>
          <w:rFonts w:ascii="Times New Roman" w:hAnsi="Times New Roman" w:cs="Times New Roman"/>
          <w:sz w:val="24"/>
          <w:szCs w:val="24"/>
        </w:rPr>
        <w:t xml:space="preserve"> prevalence of ruminal acidosis </w:t>
      </w:r>
      <w:r w:rsidR="00541B4B">
        <w:rPr>
          <w:rFonts w:ascii="Times New Roman" w:hAnsi="Times New Roman" w:cs="Times New Roman"/>
          <w:sz w:val="24"/>
          <w:szCs w:val="24"/>
        </w:rPr>
        <w:t>between male and female</w:t>
      </w:r>
      <w:r w:rsidR="001F2B54" w:rsidRPr="006E39A1">
        <w:rPr>
          <w:rFonts w:ascii="Times New Roman" w:hAnsi="Times New Roman" w:cs="Times New Roman"/>
          <w:sz w:val="24"/>
          <w:szCs w:val="24"/>
        </w:rPr>
        <w:t xml:space="preserve"> cattle</w:t>
      </w:r>
      <w:r w:rsidR="00156850">
        <w:rPr>
          <w:rFonts w:ascii="Times New Roman" w:hAnsi="Times New Roman" w:cs="Times New Roman"/>
          <w:sz w:val="24"/>
          <w:szCs w:val="24"/>
        </w:rPr>
        <w:t xml:space="preserve"> (50% in both male and female). Higher prevalence of ruminal acidosis </w:t>
      </w:r>
      <w:r w:rsidR="008148CD">
        <w:rPr>
          <w:rFonts w:ascii="Times New Roman" w:hAnsi="Times New Roman" w:cs="Times New Roman"/>
          <w:sz w:val="24"/>
          <w:szCs w:val="24"/>
        </w:rPr>
        <w:t>was</w:t>
      </w:r>
      <w:r w:rsidR="00156850">
        <w:rPr>
          <w:rFonts w:ascii="Times New Roman" w:hAnsi="Times New Roman" w:cs="Times New Roman"/>
          <w:sz w:val="24"/>
          <w:szCs w:val="24"/>
        </w:rPr>
        <w:t xml:space="preserve"> noticed in male </w:t>
      </w:r>
      <w:r w:rsidR="008148CD">
        <w:rPr>
          <w:rFonts w:ascii="Times New Roman" w:hAnsi="Times New Roman" w:cs="Times New Roman"/>
          <w:sz w:val="24"/>
          <w:szCs w:val="24"/>
        </w:rPr>
        <w:t>goat (62.5%).</w:t>
      </w:r>
    </w:p>
    <w:p w:rsidR="00CC2283" w:rsidRDefault="00921443" w:rsidP="0015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Table 4</w:t>
      </w:r>
      <w:r w:rsidR="0078209F" w:rsidRPr="006E39A1">
        <w:rPr>
          <w:rFonts w:ascii="Times New Roman" w:hAnsi="Times New Roman" w:cs="Times New Roman"/>
          <w:b/>
          <w:sz w:val="28"/>
          <w:szCs w:val="24"/>
        </w:rPr>
        <w:t>:</w:t>
      </w:r>
      <w:r w:rsidR="0078209F" w:rsidRPr="006E39A1">
        <w:rPr>
          <w:rFonts w:ascii="Times New Roman" w:hAnsi="Times New Roman" w:cs="Times New Roman"/>
          <w:sz w:val="28"/>
          <w:szCs w:val="24"/>
        </w:rPr>
        <w:t xml:space="preserve"> Prevalence of ruminal acidosis </w:t>
      </w:r>
      <w:r w:rsidR="00515516">
        <w:rPr>
          <w:rFonts w:ascii="Times New Roman" w:hAnsi="Times New Roman" w:cs="Times New Roman"/>
          <w:sz w:val="28"/>
          <w:szCs w:val="24"/>
        </w:rPr>
        <w:t>according to sex</w:t>
      </w:r>
      <w:r w:rsidR="0078209F" w:rsidRPr="006E39A1">
        <w:rPr>
          <w:rFonts w:ascii="Times New Roman" w:hAnsi="Times New Roman" w:cs="Times New Roman"/>
          <w:sz w:val="28"/>
          <w:szCs w:val="24"/>
        </w:rPr>
        <w:t xml:space="preserve"> in cattle and goat</w:t>
      </w:r>
    </w:p>
    <w:tbl>
      <w:tblPr>
        <w:tblStyle w:val="TableGrid"/>
        <w:tblW w:w="0" w:type="auto"/>
        <w:tblLook w:val="04A0"/>
      </w:tblPr>
      <w:tblGrid>
        <w:gridCol w:w="3191"/>
        <w:gridCol w:w="3192"/>
        <w:gridCol w:w="3193"/>
      </w:tblGrid>
      <w:tr w:rsidR="00156850" w:rsidTr="00156850"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6850" w:rsidRP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50">
              <w:rPr>
                <w:rFonts w:ascii="Times New Roman" w:hAnsi="Times New Roman" w:cs="Times New Roman"/>
                <w:b/>
                <w:sz w:val="24"/>
                <w:szCs w:val="24"/>
              </w:rPr>
              <w:t>Cattle</w:t>
            </w:r>
          </w:p>
        </w:tc>
        <w:tc>
          <w:tcPr>
            <w:tcW w:w="3193" w:type="dxa"/>
          </w:tcPr>
          <w:p w:rsidR="00156850" w:rsidRP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50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</w:p>
        </w:tc>
      </w:tr>
      <w:tr w:rsidR="00156850" w:rsidTr="00156850"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3192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850" w:rsidTr="00156850"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male</w:t>
            </w:r>
          </w:p>
        </w:tc>
        <w:tc>
          <w:tcPr>
            <w:tcW w:w="3192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850" w:rsidTr="00156850"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male (%)</w:t>
            </w:r>
          </w:p>
        </w:tc>
        <w:tc>
          <w:tcPr>
            <w:tcW w:w="3192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3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156850" w:rsidTr="00156850"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</w:t>
            </w:r>
          </w:p>
        </w:tc>
        <w:tc>
          <w:tcPr>
            <w:tcW w:w="3192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850" w:rsidTr="0015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3191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female (%)</w:t>
            </w:r>
          </w:p>
        </w:tc>
        <w:tc>
          <w:tcPr>
            <w:tcW w:w="3192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3" w:type="dxa"/>
          </w:tcPr>
          <w:p w:rsidR="00156850" w:rsidRDefault="00156850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</w:tbl>
    <w:p w:rsidR="00156850" w:rsidRDefault="00156850" w:rsidP="00EB292C">
      <w:pPr>
        <w:rPr>
          <w:rFonts w:ascii="Times New Roman" w:hAnsi="Times New Roman" w:cs="Times New Roman"/>
          <w:b/>
          <w:sz w:val="28"/>
          <w:szCs w:val="24"/>
        </w:rPr>
      </w:pPr>
    </w:p>
    <w:p w:rsidR="00705FE0" w:rsidRPr="005A7A35" w:rsidRDefault="00CC2283" w:rsidP="00705FE0">
      <w:pPr>
        <w:rPr>
          <w:rFonts w:ascii="Times New Roman" w:hAnsi="Times New Roman" w:cs="Times New Roman"/>
          <w:b/>
          <w:sz w:val="28"/>
          <w:szCs w:val="24"/>
        </w:rPr>
      </w:pPr>
      <w:r w:rsidRPr="005A7A35">
        <w:rPr>
          <w:rFonts w:ascii="Times New Roman" w:hAnsi="Times New Roman" w:cs="Times New Roman"/>
          <w:b/>
          <w:sz w:val="28"/>
          <w:szCs w:val="24"/>
        </w:rPr>
        <w:t>4.</w:t>
      </w:r>
      <w:r w:rsidR="006E39A1" w:rsidRPr="005A7A35">
        <w:rPr>
          <w:rFonts w:ascii="Times New Roman" w:hAnsi="Times New Roman" w:cs="Times New Roman"/>
          <w:b/>
          <w:sz w:val="28"/>
          <w:szCs w:val="24"/>
        </w:rPr>
        <w:t>1.</w:t>
      </w:r>
      <w:r w:rsidRPr="005A7A35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A558F9" w:rsidRPr="005A7A35">
        <w:rPr>
          <w:rFonts w:ascii="Times New Roman" w:hAnsi="Times New Roman" w:cs="Times New Roman"/>
          <w:b/>
          <w:sz w:val="28"/>
          <w:szCs w:val="24"/>
        </w:rPr>
        <w:t xml:space="preserve">Prevalence of ruminal acidosis </w:t>
      </w:r>
      <w:r w:rsidR="00515516">
        <w:rPr>
          <w:rFonts w:ascii="Times New Roman" w:hAnsi="Times New Roman" w:cs="Times New Roman"/>
          <w:b/>
          <w:sz w:val="28"/>
          <w:szCs w:val="24"/>
        </w:rPr>
        <w:t>based on</w:t>
      </w:r>
      <w:r w:rsidR="00A558F9" w:rsidRPr="005A7A35">
        <w:rPr>
          <w:rFonts w:ascii="Times New Roman" w:hAnsi="Times New Roman" w:cs="Times New Roman"/>
          <w:b/>
          <w:sz w:val="28"/>
          <w:szCs w:val="24"/>
        </w:rPr>
        <w:t xml:space="preserve"> breeds of cattle and goat</w:t>
      </w:r>
    </w:p>
    <w:p w:rsidR="001F2B54" w:rsidRPr="005A7A35" w:rsidRDefault="001F2B54" w:rsidP="00993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35">
        <w:rPr>
          <w:rFonts w:ascii="Times New Roman" w:hAnsi="Times New Roman" w:cs="Times New Roman"/>
          <w:sz w:val="24"/>
          <w:szCs w:val="24"/>
        </w:rPr>
        <w:t xml:space="preserve">There were found </w:t>
      </w:r>
      <w:r w:rsidR="003F1BEA">
        <w:rPr>
          <w:rFonts w:ascii="Times New Roman" w:hAnsi="Times New Roman" w:cs="Times New Roman"/>
          <w:sz w:val="24"/>
          <w:szCs w:val="24"/>
        </w:rPr>
        <w:t xml:space="preserve">higher </w:t>
      </w:r>
      <w:r w:rsidRPr="005A7A35">
        <w:rPr>
          <w:rFonts w:ascii="Times New Roman" w:hAnsi="Times New Roman" w:cs="Times New Roman"/>
          <w:sz w:val="24"/>
          <w:szCs w:val="24"/>
        </w:rPr>
        <w:t>prevalence of ruminal acidosis</w:t>
      </w:r>
      <w:r w:rsidR="003F1BEA">
        <w:rPr>
          <w:rFonts w:ascii="Times New Roman" w:hAnsi="Times New Roman" w:cs="Times New Roman"/>
          <w:sz w:val="24"/>
          <w:szCs w:val="24"/>
        </w:rPr>
        <w:t xml:space="preserve"> in ND cattle and BBG </w:t>
      </w:r>
      <w:r w:rsidR="00C00B43">
        <w:rPr>
          <w:rFonts w:ascii="Times New Roman" w:hAnsi="Times New Roman" w:cs="Times New Roman"/>
          <w:sz w:val="24"/>
          <w:szCs w:val="24"/>
        </w:rPr>
        <w:t>in</w:t>
      </w:r>
      <w:r w:rsidR="003F1BEA">
        <w:rPr>
          <w:rFonts w:ascii="Times New Roman" w:hAnsi="Times New Roman" w:cs="Times New Roman"/>
          <w:sz w:val="24"/>
          <w:szCs w:val="24"/>
        </w:rPr>
        <w:t xml:space="preserve"> comparison with HF cross breed cattle and Jamunapari goat, respectively</w:t>
      </w:r>
      <w:r w:rsidR="00C00B43">
        <w:rPr>
          <w:rFonts w:ascii="Times New Roman" w:hAnsi="Times New Roman" w:cs="Times New Roman"/>
          <w:sz w:val="24"/>
          <w:szCs w:val="24"/>
        </w:rPr>
        <w:t>. The prevalence of ruminal acidosis was 67.5% in both ND cattle and BBG</w:t>
      </w:r>
      <w:r w:rsidR="003F1BEA">
        <w:rPr>
          <w:rFonts w:ascii="Times New Roman" w:hAnsi="Times New Roman" w:cs="Times New Roman"/>
          <w:sz w:val="24"/>
          <w:szCs w:val="24"/>
        </w:rPr>
        <w:t xml:space="preserve"> </w:t>
      </w:r>
      <w:r w:rsidR="00C00B43">
        <w:rPr>
          <w:rFonts w:ascii="Times New Roman" w:hAnsi="Times New Roman" w:cs="Times New Roman"/>
          <w:sz w:val="24"/>
          <w:szCs w:val="24"/>
        </w:rPr>
        <w:t xml:space="preserve">and 37.5% in both HF cross breed cattle and jamunapari goat </w:t>
      </w:r>
      <w:r w:rsidR="00921443">
        <w:rPr>
          <w:rFonts w:ascii="Times New Roman" w:hAnsi="Times New Roman" w:cs="Times New Roman"/>
          <w:b/>
          <w:sz w:val="24"/>
          <w:szCs w:val="24"/>
        </w:rPr>
        <w:t>(Table 5</w:t>
      </w:r>
      <w:r w:rsidR="0078209F" w:rsidRPr="005A7A35">
        <w:rPr>
          <w:rFonts w:ascii="Times New Roman" w:hAnsi="Times New Roman" w:cs="Times New Roman"/>
          <w:b/>
          <w:sz w:val="24"/>
          <w:szCs w:val="24"/>
        </w:rPr>
        <w:t>).</w:t>
      </w:r>
    </w:p>
    <w:p w:rsidR="00322545" w:rsidRDefault="00921443" w:rsidP="001F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5</w:t>
      </w:r>
      <w:r w:rsidR="00322545" w:rsidRPr="005A7A35">
        <w:rPr>
          <w:rFonts w:ascii="Times New Roman" w:hAnsi="Times New Roman" w:cs="Times New Roman"/>
          <w:b/>
          <w:sz w:val="28"/>
          <w:szCs w:val="28"/>
        </w:rPr>
        <w:t>:</w:t>
      </w:r>
      <w:r w:rsidR="00322545" w:rsidRPr="005A7A35">
        <w:rPr>
          <w:rFonts w:ascii="Times New Roman" w:hAnsi="Times New Roman" w:cs="Times New Roman"/>
          <w:sz w:val="28"/>
          <w:szCs w:val="28"/>
        </w:rPr>
        <w:t xml:space="preserve"> Prevalence of ruminal acidosis </w:t>
      </w:r>
      <w:r w:rsidR="00515516">
        <w:rPr>
          <w:rFonts w:ascii="Times New Roman" w:hAnsi="Times New Roman" w:cs="Times New Roman"/>
          <w:sz w:val="28"/>
          <w:szCs w:val="28"/>
        </w:rPr>
        <w:t>based on</w:t>
      </w:r>
      <w:r w:rsidR="00322545" w:rsidRPr="005A7A35">
        <w:rPr>
          <w:rFonts w:ascii="Times New Roman" w:hAnsi="Times New Roman" w:cs="Times New Roman"/>
          <w:sz w:val="28"/>
          <w:szCs w:val="28"/>
        </w:rPr>
        <w:t xml:space="preserve"> breeds of cattle and goat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1260"/>
        <w:gridCol w:w="3600"/>
        <w:gridCol w:w="1278"/>
      </w:tblGrid>
      <w:tr w:rsidR="003F1BEA" w:rsidTr="003F1BEA">
        <w:trPr>
          <w:trHeight w:val="221"/>
        </w:trPr>
        <w:tc>
          <w:tcPr>
            <w:tcW w:w="4698" w:type="dxa"/>
            <w:gridSpan w:val="2"/>
          </w:tcPr>
          <w:p w:rsidR="003F1BEA" w:rsidRP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Cattle</w:t>
            </w:r>
          </w:p>
        </w:tc>
        <w:tc>
          <w:tcPr>
            <w:tcW w:w="4878" w:type="dxa"/>
            <w:gridSpan w:val="2"/>
          </w:tcPr>
          <w:p w:rsidR="003F1BEA" w:rsidRP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EA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</w:p>
        </w:tc>
      </w:tr>
      <w:tr w:rsidR="003F1BEA" w:rsidTr="003F1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BEA" w:rsidTr="003F1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ND cattle</w:t>
            </w:r>
          </w:p>
        </w:tc>
        <w:tc>
          <w:tcPr>
            <w:tcW w:w="1260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BBG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BEA" w:rsidTr="003F1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ND cattle (%)</w:t>
            </w:r>
          </w:p>
        </w:tc>
        <w:tc>
          <w:tcPr>
            <w:tcW w:w="1260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BBG (%)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3F1BEA" w:rsidTr="003F1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HF cross breed</w:t>
            </w:r>
          </w:p>
        </w:tc>
        <w:tc>
          <w:tcPr>
            <w:tcW w:w="1260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Jamunapari goat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BEA" w:rsidTr="003F1BEA">
        <w:trPr>
          <w:trHeight w:val="311"/>
        </w:trPr>
        <w:tc>
          <w:tcPr>
            <w:tcW w:w="343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HF cross breed (%)</w:t>
            </w:r>
          </w:p>
        </w:tc>
        <w:tc>
          <w:tcPr>
            <w:tcW w:w="1260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3600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Jamunapari goat (%)</w:t>
            </w:r>
          </w:p>
        </w:tc>
        <w:tc>
          <w:tcPr>
            <w:tcW w:w="1278" w:type="dxa"/>
          </w:tcPr>
          <w:p w:rsidR="003F1BEA" w:rsidRDefault="003F1BEA" w:rsidP="00EB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</w:tbl>
    <w:p w:rsidR="003D14C5" w:rsidRPr="00C46BBB" w:rsidRDefault="003D14C5" w:rsidP="00EB292C">
      <w:pPr>
        <w:rPr>
          <w:rFonts w:ascii="Times New Roman" w:hAnsi="Times New Roman" w:cs="Times New Roman"/>
          <w:sz w:val="24"/>
          <w:szCs w:val="24"/>
        </w:rPr>
      </w:pPr>
    </w:p>
    <w:p w:rsidR="00C46BBB" w:rsidRDefault="00C46BBB" w:rsidP="00C46BBB">
      <w:pPr>
        <w:rPr>
          <w:rFonts w:ascii="Times New Roman" w:hAnsi="Times New Roman" w:cs="Times New Roman"/>
          <w:b/>
          <w:sz w:val="28"/>
          <w:szCs w:val="24"/>
        </w:rPr>
      </w:pPr>
      <w:r w:rsidRPr="00C46BBB">
        <w:rPr>
          <w:rFonts w:ascii="Times New Roman" w:hAnsi="Times New Roman" w:cs="Times New Roman"/>
          <w:b/>
          <w:sz w:val="28"/>
          <w:szCs w:val="24"/>
        </w:rPr>
        <w:t>4.1.</w:t>
      </w:r>
      <w:r w:rsidR="005A7A35">
        <w:rPr>
          <w:rFonts w:ascii="Times New Roman" w:hAnsi="Times New Roman" w:cs="Times New Roman"/>
          <w:b/>
          <w:sz w:val="28"/>
          <w:szCs w:val="24"/>
        </w:rPr>
        <w:t>5</w:t>
      </w:r>
      <w:r w:rsidRPr="00C46BBB">
        <w:rPr>
          <w:rFonts w:ascii="Times New Roman" w:hAnsi="Times New Roman" w:cs="Times New Roman"/>
          <w:b/>
          <w:sz w:val="28"/>
          <w:szCs w:val="24"/>
        </w:rPr>
        <w:t xml:space="preserve"> Prevalence of ruminal acidosis in different age groups of cattle and goat</w:t>
      </w:r>
    </w:p>
    <w:p w:rsidR="009E656E" w:rsidRPr="00EB292C" w:rsidRDefault="005D1B75" w:rsidP="005D1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2C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9E656E" w:rsidRPr="00EB292C">
        <w:rPr>
          <w:rFonts w:ascii="Times New Roman" w:hAnsi="Times New Roman" w:cs="Times New Roman"/>
          <w:sz w:val="24"/>
          <w:szCs w:val="24"/>
        </w:rPr>
        <w:t>found higher prevalence of ruminal acidosis in &gt; 2 year’s cattle and &lt;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E656E" w:rsidRPr="00EB292C">
        <w:rPr>
          <w:rFonts w:ascii="Times New Roman" w:hAnsi="Times New Roman" w:cs="Times New Roman"/>
          <w:sz w:val="24"/>
          <w:szCs w:val="24"/>
        </w:rPr>
        <w:t xml:space="preserve"> year’s goats</w:t>
      </w:r>
      <w:r w:rsidR="005C0835" w:rsidRPr="00EB292C">
        <w:rPr>
          <w:rFonts w:ascii="Times New Roman" w:hAnsi="Times New Roman" w:cs="Times New Roman"/>
          <w:sz w:val="24"/>
          <w:szCs w:val="24"/>
        </w:rPr>
        <w:t xml:space="preserve">. </w:t>
      </w:r>
      <w:r w:rsidR="009E656E" w:rsidRPr="00EB292C">
        <w:rPr>
          <w:rFonts w:ascii="Times New Roman" w:hAnsi="Times New Roman" w:cs="Times New Roman"/>
          <w:sz w:val="24"/>
          <w:szCs w:val="24"/>
        </w:rPr>
        <w:t>These were 62.5% in &gt; 2 year’s cattle and 75% in &lt;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E656E" w:rsidRPr="00EB292C">
        <w:rPr>
          <w:rFonts w:ascii="Times New Roman" w:hAnsi="Times New Roman" w:cs="Times New Roman"/>
          <w:sz w:val="24"/>
          <w:szCs w:val="24"/>
        </w:rPr>
        <w:t xml:space="preserve"> year’s goat’s, respectively </w:t>
      </w:r>
      <w:r w:rsidR="00921443">
        <w:rPr>
          <w:rFonts w:ascii="Times New Roman" w:hAnsi="Times New Roman" w:cs="Times New Roman"/>
          <w:b/>
          <w:sz w:val="24"/>
          <w:szCs w:val="24"/>
        </w:rPr>
        <w:t>(Table 6</w:t>
      </w:r>
      <w:r w:rsidRPr="00EB292C">
        <w:rPr>
          <w:rFonts w:ascii="Times New Roman" w:hAnsi="Times New Roman" w:cs="Times New Roman"/>
          <w:b/>
          <w:sz w:val="24"/>
          <w:szCs w:val="24"/>
        </w:rPr>
        <w:t>).</w:t>
      </w:r>
    </w:p>
    <w:p w:rsidR="009E656E" w:rsidRDefault="009E656E" w:rsidP="009E656E">
      <w:pPr>
        <w:rPr>
          <w:rFonts w:ascii="Times New Roman" w:hAnsi="Times New Roman" w:cs="Times New Roman"/>
          <w:b/>
          <w:sz w:val="28"/>
          <w:szCs w:val="28"/>
        </w:rPr>
      </w:pPr>
    </w:p>
    <w:p w:rsidR="009E656E" w:rsidRDefault="009E656E" w:rsidP="009E656E">
      <w:pPr>
        <w:rPr>
          <w:rFonts w:ascii="Times New Roman" w:hAnsi="Times New Roman" w:cs="Times New Roman"/>
          <w:b/>
          <w:sz w:val="28"/>
          <w:szCs w:val="28"/>
        </w:rPr>
      </w:pPr>
    </w:p>
    <w:p w:rsidR="009E656E" w:rsidRDefault="009E656E" w:rsidP="009E656E">
      <w:pPr>
        <w:rPr>
          <w:rFonts w:ascii="Times New Roman" w:hAnsi="Times New Roman" w:cs="Times New Roman"/>
          <w:b/>
          <w:sz w:val="28"/>
          <w:szCs w:val="28"/>
        </w:rPr>
      </w:pPr>
    </w:p>
    <w:p w:rsidR="008916E0" w:rsidRDefault="008916E0" w:rsidP="009E656E">
      <w:pPr>
        <w:rPr>
          <w:rFonts w:ascii="Times New Roman" w:hAnsi="Times New Roman" w:cs="Times New Roman"/>
          <w:b/>
          <w:sz w:val="28"/>
          <w:szCs w:val="28"/>
        </w:rPr>
      </w:pPr>
    </w:p>
    <w:p w:rsidR="009E656E" w:rsidRPr="009E656E" w:rsidRDefault="00921443" w:rsidP="009E656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 6</w:t>
      </w:r>
      <w:r w:rsidR="009E656E" w:rsidRPr="005A7A35">
        <w:rPr>
          <w:rFonts w:ascii="Times New Roman" w:hAnsi="Times New Roman" w:cs="Times New Roman"/>
          <w:b/>
          <w:sz w:val="28"/>
          <w:szCs w:val="28"/>
        </w:rPr>
        <w:t>:</w:t>
      </w:r>
      <w:r w:rsidR="009E656E" w:rsidRPr="005A7A35">
        <w:rPr>
          <w:rFonts w:ascii="Times New Roman" w:hAnsi="Times New Roman" w:cs="Times New Roman"/>
          <w:sz w:val="28"/>
          <w:szCs w:val="28"/>
        </w:rPr>
        <w:t xml:space="preserve"> </w:t>
      </w:r>
      <w:r w:rsidR="009E656E" w:rsidRPr="005C0835">
        <w:rPr>
          <w:rFonts w:ascii="Times New Roman" w:hAnsi="Times New Roman" w:cs="Times New Roman"/>
          <w:sz w:val="28"/>
          <w:szCs w:val="28"/>
        </w:rPr>
        <w:t xml:space="preserve">Prevalence of ruminal acidosis in </w:t>
      </w:r>
      <w:r w:rsidR="009E656E" w:rsidRPr="005C0835">
        <w:rPr>
          <w:rFonts w:ascii="Times New Roman" w:hAnsi="Times New Roman" w:cs="Times New Roman"/>
          <w:sz w:val="28"/>
          <w:szCs w:val="24"/>
        </w:rPr>
        <w:t>different age groups of cattle and goat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1260"/>
        <w:gridCol w:w="3600"/>
        <w:gridCol w:w="1278"/>
      </w:tblGrid>
      <w:tr w:rsidR="00C00B43" w:rsidTr="00864960">
        <w:trPr>
          <w:trHeight w:val="221"/>
        </w:trPr>
        <w:tc>
          <w:tcPr>
            <w:tcW w:w="4698" w:type="dxa"/>
            <w:gridSpan w:val="2"/>
          </w:tcPr>
          <w:p w:rsidR="00C00B43" w:rsidRPr="003F1BEA" w:rsidRDefault="00C00B43" w:rsidP="0086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EA">
              <w:rPr>
                <w:rFonts w:ascii="Times New Roman" w:hAnsi="Times New Roman" w:cs="Times New Roman"/>
                <w:b/>
                <w:sz w:val="24"/>
                <w:szCs w:val="24"/>
              </w:rPr>
              <w:t>Cattle</w:t>
            </w:r>
          </w:p>
        </w:tc>
        <w:tc>
          <w:tcPr>
            <w:tcW w:w="4878" w:type="dxa"/>
            <w:gridSpan w:val="2"/>
          </w:tcPr>
          <w:p w:rsidR="00C00B43" w:rsidRPr="003F1BEA" w:rsidRDefault="00C00B43" w:rsidP="0086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EA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</w:p>
        </w:tc>
      </w:tr>
      <w:tr w:rsidR="009E656E" w:rsidTr="008649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cases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43" w:rsidTr="008649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cases in &lt;</w:t>
            </w:r>
            <w:r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2 years</w:t>
            </w:r>
          </w:p>
        </w:tc>
        <w:tc>
          <w:tcPr>
            <w:tcW w:w="1260" w:type="dxa"/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00B43" w:rsidRDefault="00C00B43" w:rsidP="00C0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cases in &lt; 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43" w:rsidTr="008649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&lt;</w:t>
            </w:r>
            <w:r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2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in &lt; 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00B43" w:rsidRPr="009E656E" w:rsidRDefault="009E656E" w:rsidP="0086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00B43" w:rsidTr="008649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438" w:type="dxa"/>
          </w:tcPr>
          <w:p w:rsidR="00C00B43" w:rsidRDefault="00C00B43" w:rsidP="00C0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cases in &gt;2 </w:t>
            </w:r>
            <w:r w:rsidRPr="005A7A3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60" w:type="dxa"/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00B43" w:rsidRDefault="00C00B43" w:rsidP="009E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9E656E">
              <w:rPr>
                <w:rFonts w:ascii="Times New Roman" w:hAnsi="Times New Roman" w:cs="Times New Roman"/>
                <w:sz w:val="24"/>
                <w:szCs w:val="24"/>
              </w:rPr>
              <w:t>cases in &gt;1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E656E"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6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43" w:rsidTr="00864960">
        <w:trPr>
          <w:trHeight w:val="311"/>
        </w:trPr>
        <w:tc>
          <w:tcPr>
            <w:tcW w:w="3438" w:type="dxa"/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Prevalence in &gt;2 </w:t>
            </w:r>
            <w:r w:rsidRPr="005A7A3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</w:tcPr>
          <w:p w:rsidR="00C00B43" w:rsidRPr="009E656E" w:rsidRDefault="009E656E" w:rsidP="0086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  <w:tc>
          <w:tcPr>
            <w:tcW w:w="3600" w:type="dxa"/>
          </w:tcPr>
          <w:p w:rsidR="00C00B43" w:rsidRDefault="00C00B43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Prevalence in </w:t>
            </w:r>
            <w:r w:rsidR="009E656E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E656E" w:rsidRPr="005A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6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278" w:type="dxa"/>
          </w:tcPr>
          <w:p w:rsidR="00C00B43" w:rsidRDefault="009E656E" w:rsidP="0086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A713E" w:rsidRDefault="006A71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34C0" w:rsidRPr="006E39A1" w:rsidRDefault="006E39A1">
      <w:pPr>
        <w:rPr>
          <w:rFonts w:ascii="Times New Roman" w:hAnsi="Times New Roman" w:cs="Times New Roman"/>
          <w:b/>
          <w:sz w:val="32"/>
          <w:szCs w:val="24"/>
        </w:rPr>
      </w:pPr>
      <w:r w:rsidRPr="006E39A1">
        <w:rPr>
          <w:rFonts w:ascii="Times New Roman" w:hAnsi="Times New Roman" w:cs="Times New Roman"/>
          <w:b/>
          <w:sz w:val="32"/>
          <w:szCs w:val="24"/>
        </w:rPr>
        <w:t xml:space="preserve">4.2 </w:t>
      </w:r>
      <w:r w:rsidR="003D14C5" w:rsidRPr="006E39A1">
        <w:rPr>
          <w:rFonts w:ascii="Times New Roman" w:hAnsi="Times New Roman" w:cs="Times New Roman"/>
          <w:b/>
          <w:sz w:val="32"/>
          <w:szCs w:val="24"/>
        </w:rPr>
        <w:t>Analysis of different parameters on ruminal acidosis</w:t>
      </w:r>
    </w:p>
    <w:p w:rsidR="003D14C5" w:rsidRPr="00862B20" w:rsidRDefault="006E39A1">
      <w:pPr>
        <w:rPr>
          <w:rFonts w:ascii="Times New Roman" w:hAnsi="Times New Roman" w:cs="Times New Roman"/>
          <w:b/>
          <w:sz w:val="28"/>
          <w:szCs w:val="28"/>
        </w:rPr>
      </w:pPr>
      <w:r w:rsidRPr="00862B20">
        <w:rPr>
          <w:rFonts w:ascii="Times New Roman" w:hAnsi="Times New Roman" w:cs="Times New Roman"/>
          <w:b/>
          <w:sz w:val="28"/>
          <w:szCs w:val="28"/>
        </w:rPr>
        <w:t xml:space="preserve">4.2.1 </w:t>
      </w:r>
      <w:r w:rsidR="0074689D">
        <w:rPr>
          <w:rFonts w:ascii="Times New Roman" w:hAnsi="Times New Roman" w:cs="Times New Roman"/>
          <w:b/>
          <w:sz w:val="28"/>
          <w:szCs w:val="28"/>
        </w:rPr>
        <w:t>Analysis</w:t>
      </w:r>
      <w:r w:rsidR="00862B20" w:rsidRPr="00862B20">
        <w:rPr>
          <w:rFonts w:ascii="Times New Roman" w:hAnsi="Times New Roman" w:cs="Times New Roman"/>
          <w:b/>
          <w:sz w:val="28"/>
          <w:szCs w:val="28"/>
        </w:rPr>
        <w:t xml:space="preserve"> of temperature</w:t>
      </w:r>
      <w:r w:rsidR="001D3CD8">
        <w:rPr>
          <w:rFonts w:ascii="Times New Roman" w:hAnsi="Times New Roman" w:cs="Times New Roman"/>
          <w:b/>
          <w:sz w:val="28"/>
          <w:szCs w:val="28"/>
        </w:rPr>
        <w:t>,</w:t>
      </w:r>
      <w:r w:rsidR="00862B20" w:rsidRPr="00862B20">
        <w:rPr>
          <w:rFonts w:ascii="Times New Roman" w:hAnsi="Times New Roman" w:cs="Times New Roman"/>
          <w:b/>
          <w:sz w:val="28"/>
          <w:szCs w:val="28"/>
        </w:rPr>
        <w:t xml:space="preserve"> rumen motility</w:t>
      </w:r>
      <w:r w:rsidR="001D3CD8">
        <w:rPr>
          <w:rFonts w:ascii="Times New Roman" w:hAnsi="Times New Roman" w:cs="Times New Roman"/>
          <w:b/>
          <w:sz w:val="28"/>
          <w:szCs w:val="28"/>
        </w:rPr>
        <w:t>,</w:t>
      </w:r>
      <w:r w:rsidR="00862B20" w:rsidRPr="00862B20">
        <w:rPr>
          <w:rFonts w:ascii="Times New Roman" w:hAnsi="Times New Roman" w:cs="Times New Roman"/>
          <w:b/>
          <w:sz w:val="28"/>
          <w:szCs w:val="28"/>
        </w:rPr>
        <w:t xml:space="preserve"> ruminal fluid pH</w:t>
      </w:r>
      <w:r w:rsidR="001D3CD8">
        <w:rPr>
          <w:rFonts w:ascii="Times New Roman" w:hAnsi="Times New Roman" w:cs="Times New Roman"/>
          <w:b/>
          <w:sz w:val="28"/>
          <w:szCs w:val="28"/>
        </w:rPr>
        <w:t>,</w:t>
      </w:r>
      <w:r w:rsidR="00862B20" w:rsidRPr="00862B20">
        <w:rPr>
          <w:rFonts w:ascii="Times New Roman" w:hAnsi="Times New Roman" w:cs="Times New Roman"/>
          <w:b/>
          <w:sz w:val="28"/>
          <w:szCs w:val="28"/>
        </w:rPr>
        <w:t xml:space="preserve"> serum pH and serum </w:t>
      </w:r>
      <w:r w:rsidR="0018493E">
        <w:rPr>
          <w:rFonts w:ascii="Times New Roman" w:hAnsi="Times New Roman" w:cs="Times New Roman"/>
          <w:b/>
          <w:sz w:val="28"/>
          <w:szCs w:val="28"/>
        </w:rPr>
        <w:t>Ca</w:t>
      </w:r>
    </w:p>
    <w:p w:rsidR="00243354" w:rsidRDefault="003D14C5" w:rsidP="001D3CD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39A1">
        <w:rPr>
          <w:rFonts w:ascii="Times New Roman" w:hAnsi="Times New Roman" w:cs="Times New Roman"/>
          <w:sz w:val="24"/>
          <w:szCs w:val="24"/>
        </w:rPr>
        <w:t>The  mean, temperature, rumen motility per 5 minutes, rumen fluid</w:t>
      </w:r>
      <w:r w:rsidR="00243354">
        <w:rPr>
          <w:rFonts w:ascii="Times New Roman" w:hAnsi="Times New Roman" w:cs="Times New Roman"/>
          <w:sz w:val="24"/>
          <w:szCs w:val="24"/>
        </w:rPr>
        <w:t xml:space="preserve"> pH and serum pH of the  cattle </w:t>
      </w:r>
      <w:r w:rsidRPr="006E39A1">
        <w:rPr>
          <w:rFonts w:ascii="Times New Roman" w:hAnsi="Times New Roman" w:cs="Times New Roman"/>
          <w:sz w:val="24"/>
          <w:szCs w:val="24"/>
        </w:rPr>
        <w:t>affected with ruminal acidosis were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493E">
        <w:rPr>
          <w:rFonts w:ascii="Times New Roman" w:eastAsiaTheme="minorEastAsia" w:hAnsi="Times New Roman" w:cs="Times New Roman"/>
          <w:sz w:val="24"/>
          <w:szCs w:val="24"/>
        </w:rPr>
        <w:t xml:space="preserve">101.06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18493E">
        <w:rPr>
          <w:rFonts w:ascii="Times New Roman" w:eastAsiaTheme="minorEastAsia" w:hAnsi="Times New Roman" w:cs="Times New Roman"/>
          <w:sz w:val="24"/>
          <w:szCs w:val="24"/>
        </w:rPr>
        <w:t xml:space="preserve"> 1.24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℉</m:t>
        </m:r>
      </m:oMath>
      <w:r w:rsidR="0018493E">
        <w:rPr>
          <w:rFonts w:ascii="Times New Roman" w:eastAsiaTheme="minorEastAsia" w:hAnsi="Times New Roman" w:cs="Times New Roman"/>
          <w:sz w:val="24"/>
          <w:szCs w:val="24"/>
        </w:rPr>
        <w:t>, 3.25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18493E">
        <w:rPr>
          <w:rFonts w:ascii="Times New Roman" w:eastAsiaTheme="minorEastAsia" w:hAnsi="Times New Roman" w:cs="Times New Roman"/>
          <w:sz w:val="24"/>
          <w:szCs w:val="24"/>
        </w:rPr>
        <w:t xml:space="preserve"> 2.6, 5.01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18493E">
        <w:rPr>
          <w:rFonts w:ascii="Times New Roman" w:eastAsiaTheme="minorEastAsia" w:hAnsi="Times New Roman" w:cs="Times New Roman"/>
          <w:sz w:val="24"/>
          <w:szCs w:val="24"/>
        </w:rPr>
        <w:t xml:space="preserve"> 0.63 and 7.16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="0018493E">
        <w:rPr>
          <w:rFonts w:ascii="Times New Roman" w:eastAsiaTheme="minorEastAsia" w:hAnsi="Times New Roman" w:cs="Times New Roman"/>
          <w:sz w:val="24"/>
          <w:szCs w:val="24"/>
        </w:rPr>
        <w:t xml:space="preserve"> 0.23 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>respectively with range (Min-Max) 99.5-103</w:t>
      </w:r>
      <m:oMath>
        <w:bookmarkStart w:id="0" w:name="OLE_LINK5"/>
        <w:bookmarkStart w:id="1" w:name="OLE_LINK6"/>
        <m:r>
          <w:rPr>
            <w:rFonts w:ascii="Cambria Math" w:hAnsi="Cambria Math" w:cs="Times New Roman"/>
            <w:sz w:val="24"/>
            <w:szCs w:val="24"/>
          </w:rPr>
          <m:t>℉</m:t>
        </m:r>
        <w:bookmarkEnd w:id="0"/>
        <w:bookmarkEnd w:id="1"/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, 0-7 per 5minutes, 4.2-6 and 6.8-7.4 respectively. These </w:t>
      </w:r>
      <w:r w:rsidR="00243354">
        <w:rPr>
          <w:rFonts w:ascii="Times New Roman" w:eastAsiaTheme="minorEastAsia" w:hAnsi="Times New Roman" w:cs="Times New Roman"/>
          <w:sz w:val="24"/>
          <w:szCs w:val="24"/>
        </w:rPr>
        <w:t xml:space="preserve">parameters in case of goat were 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>103.01±</w:t>
      </w:r>
      <w:r w:rsidR="0018493E" w:rsidRPr="006E39A1">
        <w:rPr>
          <w:rFonts w:ascii="Times New Roman" w:eastAsiaTheme="minorEastAsia" w:hAnsi="Times New Roman" w:cs="Times New Roman"/>
          <w:sz w:val="24"/>
          <w:szCs w:val="24"/>
        </w:rPr>
        <w:t>1.14</w:t>
      </w:r>
      <m:oMath>
        <m:r>
          <w:rPr>
            <w:rFonts w:ascii="Cambria Math" w:hAnsi="Cambria Math" w:cs="Times New Roman"/>
            <w:sz w:val="24"/>
            <w:szCs w:val="24"/>
          </w:rPr>
          <m:t>℉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Times New Roman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>2.2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per 5 minutes, 4.9</w:t>
      </w:r>
      <m:oMath>
        <m:r>
          <w:rPr>
            <w:rFonts w:ascii="Times New Roman" w:hAnsi="Times New Roman" w:cs="Times New Roman"/>
            <w:sz w:val="24"/>
            <w:szCs w:val="24"/>
          </w:rPr>
          <m:t>±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>0.63 and 7.16</w:t>
      </w:r>
      <m:oMath>
        <m:r>
          <w:rPr>
            <w:rFonts w:ascii="Times New Roman" w:hAnsi="Times New Roman" w:cs="Times New Roman"/>
            <w:sz w:val="24"/>
            <w:szCs w:val="24"/>
          </w:rPr>
          <m:t>±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>0.2 respectively with range (Min-Max) 101-105</w:t>
      </w:r>
      <m:oMath>
        <m:r>
          <w:rPr>
            <w:rFonts w:ascii="Cambria Math" w:hAnsi="Cambria Math" w:cs="Times New Roman"/>
            <w:sz w:val="24"/>
            <w:szCs w:val="24"/>
          </w:rPr>
          <m:t>℉</m:t>
        </m:r>
        <m:r>
          <w:rPr>
            <w:rFonts w:ascii="Cambria Math" w:hAnsi="Times New Roman" w:cs="Times New Roman"/>
            <w:sz w:val="24"/>
            <w:szCs w:val="24"/>
          </w:rPr>
          <m:t>, 1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7 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>per 5 minutes, 4-5.8 and 6.8-7.4 respectively. In addition the mean serum calcium level of goat was 9.09</w:t>
      </w:r>
      <m:oMath>
        <m:r>
          <w:rPr>
            <w:rFonts w:ascii="Times New Roman" w:hAnsi="Times New Roman" w:cs="Times New Roman"/>
            <w:sz w:val="24"/>
            <w:szCs w:val="24"/>
          </w:rPr>
          <m:t>±</m:t>
        </m:r>
      </m:oMath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1.26 mg/dl with range (Min-Max) 7.65-11.32 mg/dl </w:t>
      </w:r>
      <w:r w:rsidR="00921443">
        <w:rPr>
          <w:rFonts w:ascii="Times New Roman" w:eastAsiaTheme="minorEastAsia" w:hAnsi="Times New Roman" w:cs="Times New Roman"/>
          <w:b/>
          <w:sz w:val="24"/>
          <w:szCs w:val="24"/>
        </w:rPr>
        <w:t>(Table 7</w:t>
      </w:r>
      <w:r w:rsidRPr="006E39A1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</w:p>
    <w:p w:rsidR="005429EB" w:rsidRPr="00675481" w:rsidRDefault="00921443" w:rsidP="003D14C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 7</w:t>
      </w:r>
      <w:r w:rsidR="003D14C5" w:rsidRPr="006E39A1">
        <w:rPr>
          <w:rFonts w:ascii="Times New Roman" w:hAnsi="Times New Roman" w:cs="Times New Roman"/>
          <w:b/>
          <w:sz w:val="28"/>
          <w:szCs w:val="24"/>
        </w:rPr>
        <w:t>:</w:t>
      </w:r>
      <w:r w:rsidR="003D14C5" w:rsidRPr="006E39A1">
        <w:rPr>
          <w:rFonts w:ascii="Times New Roman" w:hAnsi="Times New Roman" w:cs="Times New Roman"/>
          <w:sz w:val="28"/>
          <w:szCs w:val="24"/>
        </w:rPr>
        <w:t xml:space="preserve"> </w:t>
      </w:r>
      <w:r w:rsidR="0074689D">
        <w:rPr>
          <w:rFonts w:ascii="Times New Roman" w:hAnsi="Times New Roman" w:cs="Times New Roman"/>
          <w:sz w:val="28"/>
          <w:szCs w:val="28"/>
        </w:rPr>
        <w:t>Analysis</w:t>
      </w:r>
      <w:r w:rsidR="00675481" w:rsidRPr="00675481">
        <w:rPr>
          <w:rFonts w:ascii="Times New Roman" w:hAnsi="Times New Roman" w:cs="Times New Roman"/>
          <w:sz w:val="28"/>
          <w:szCs w:val="28"/>
        </w:rPr>
        <w:t xml:space="preserve"> of temperature</w:t>
      </w:r>
      <w:r w:rsidR="0074689D">
        <w:rPr>
          <w:rFonts w:ascii="Times New Roman" w:hAnsi="Times New Roman" w:cs="Times New Roman"/>
          <w:sz w:val="28"/>
          <w:szCs w:val="28"/>
        </w:rPr>
        <w:t>,</w:t>
      </w:r>
      <w:r w:rsidR="00675481" w:rsidRPr="00675481">
        <w:rPr>
          <w:rFonts w:ascii="Times New Roman" w:hAnsi="Times New Roman" w:cs="Times New Roman"/>
          <w:sz w:val="28"/>
          <w:szCs w:val="28"/>
        </w:rPr>
        <w:t xml:space="preserve"> rumen motility</w:t>
      </w:r>
      <w:r w:rsidR="0074689D">
        <w:rPr>
          <w:rFonts w:ascii="Times New Roman" w:hAnsi="Times New Roman" w:cs="Times New Roman"/>
          <w:sz w:val="28"/>
          <w:szCs w:val="28"/>
        </w:rPr>
        <w:t>,</w:t>
      </w:r>
      <w:r w:rsidR="00675481" w:rsidRPr="00675481">
        <w:rPr>
          <w:rFonts w:ascii="Times New Roman" w:hAnsi="Times New Roman" w:cs="Times New Roman"/>
          <w:sz w:val="28"/>
          <w:szCs w:val="28"/>
        </w:rPr>
        <w:t xml:space="preserve"> ruminal fluid pH</w:t>
      </w:r>
      <w:r w:rsidR="0074689D">
        <w:rPr>
          <w:rFonts w:ascii="Times New Roman" w:hAnsi="Times New Roman" w:cs="Times New Roman"/>
          <w:sz w:val="28"/>
          <w:szCs w:val="28"/>
        </w:rPr>
        <w:t>,</w:t>
      </w:r>
      <w:r w:rsidR="00675481" w:rsidRPr="00675481">
        <w:rPr>
          <w:rFonts w:ascii="Times New Roman" w:hAnsi="Times New Roman" w:cs="Times New Roman"/>
          <w:sz w:val="28"/>
          <w:szCs w:val="28"/>
        </w:rPr>
        <w:t xml:space="preserve"> serum pH and serum calcium of cattle and goat</w:t>
      </w:r>
    </w:p>
    <w:tbl>
      <w:tblPr>
        <w:tblStyle w:val="TableGrid"/>
        <w:tblW w:w="0" w:type="auto"/>
        <w:tblLook w:val="0000"/>
      </w:tblPr>
      <w:tblGrid>
        <w:gridCol w:w="3258"/>
        <w:gridCol w:w="1530"/>
        <w:gridCol w:w="1620"/>
        <w:gridCol w:w="1440"/>
        <w:gridCol w:w="1620"/>
      </w:tblGrid>
      <w:tr w:rsidR="003D14C5" w:rsidRPr="006E39A1" w:rsidTr="00C44770">
        <w:trPr>
          <w:trHeight w:val="364"/>
        </w:trPr>
        <w:tc>
          <w:tcPr>
            <w:tcW w:w="3258" w:type="dxa"/>
          </w:tcPr>
          <w:p w:rsidR="003D14C5" w:rsidRPr="00C44770" w:rsidRDefault="00C44770" w:rsidP="00C44770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70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3150" w:type="dxa"/>
            <w:gridSpan w:val="2"/>
          </w:tcPr>
          <w:p w:rsidR="003D14C5" w:rsidRPr="006E39A1" w:rsidRDefault="003D14C5" w:rsidP="00C44770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Cattle</w:t>
            </w:r>
          </w:p>
        </w:tc>
        <w:tc>
          <w:tcPr>
            <w:tcW w:w="3060" w:type="dxa"/>
            <w:gridSpan w:val="2"/>
          </w:tcPr>
          <w:p w:rsidR="003D14C5" w:rsidRPr="006E39A1" w:rsidRDefault="003D14C5" w:rsidP="00C44770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Goat</w:t>
            </w:r>
          </w:p>
        </w:tc>
      </w:tr>
      <w:tr w:rsidR="003D14C5" w:rsidRPr="006E39A1" w:rsidTr="00C44770">
        <w:trPr>
          <w:trHeight w:val="756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3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6E39A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std.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(Min – Max)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6E39A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std.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(Min – Max)</w:t>
            </w:r>
          </w:p>
        </w:tc>
      </w:tr>
      <w:tr w:rsidR="003D14C5" w:rsidRPr="006E39A1" w:rsidTr="00C44770">
        <w:trPr>
          <w:trHeight w:val="377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℉</m:t>
              </m:r>
            </m:oMath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101.06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1.24</m:t>
              </m:r>
            </m:oMath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99.5 – 103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103.01±1.14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101 – 105</w:t>
            </w:r>
          </w:p>
        </w:tc>
      </w:tr>
      <w:tr w:rsidR="003D14C5" w:rsidRPr="006E39A1" w:rsidTr="00C44770">
        <w:trPr>
          <w:trHeight w:val="377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Rumen motility (per 5 minutes)</w:t>
            </w:r>
          </w:p>
        </w:tc>
        <w:tc>
          <w:tcPr>
            <w:tcW w:w="153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2.60</m:t>
              </m:r>
            </m:oMath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2.20</m:t>
                </m:r>
              </m:oMath>
            </m:oMathPara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</w:tr>
      <w:tr w:rsidR="003D14C5" w:rsidRPr="006E39A1" w:rsidTr="00C44770">
        <w:trPr>
          <w:trHeight w:val="332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Ruminal fluid pH</w:t>
            </w:r>
          </w:p>
        </w:tc>
        <w:tc>
          <w:tcPr>
            <w:tcW w:w="153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0.63</m:t>
              </m:r>
            </m:oMath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4.2 – 6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4.9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 – 5.8</w:t>
            </w:r>
          </w:p>
        </w:tc>
      </w:tr>
      <w:tr w:rsidR="003D14C5" w:rsidRPr="006E39A1" w:rsidTr="00C44770">
        <w:trPr>
          <w:trHeight w:val="341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Serum pH</w:t>
            </w:r>
          </w:p>
        </w:tc>
        <w:tc>
          <w:tcPr>
            <w:tcW w:w="153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0.23</m:t>
              </m:r>
            </m:oMath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6.8 – 7.4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7.16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  <w:r w:rsidR="0016401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6.8 – 7.4</w:t>
            </w:r>
          </w:p>
        </w:tc>
      </w:tr>
      <w:tr w:rsidR="003D14C5" w:rsidRPr="006E39A1" w:rsidTr="00C44770">
        <w:trPr>
          <w:trHeight w:val="440"/>
        </w:trPr>
        <w:tc>
          <w:tcPr>
            <w:tcW w:w="3258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Serum calcium(mg/dl)</w:t>
            </w:r>
          </w:p>
        </w:tc>
        <w:tc>
          <w:tcPr>
            <w:tcW w:w="1530" w:type="dxa"/>
          </w:tcPr>
          <w:p w:rsidR="003D14C5" w:rsidRPr="006E39A1" w:rsidRDefault="0016401E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D14C5" w:rsidRPr="006E39A1" w:rsidRDefault="0016401E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9.09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6E39A1">
              <w:rPr>
                <w:rFonts w:ascii="Times New Roman" w:eastAsiaTheme="minorEastAsia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20" w:type="dxa"/>
          </w:tcPr>
          <w:p w:rsidR="003D14C5" w:rsidRPr="006E39A1" w:rsidRDefault="003D14C5" w:rsidP="00B2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7.65 – 11.32</w:t>
            </w:r>
          </w:p>
        </w:tc>
      </w:tr>
    </w:tbl>
    <w:p w:rsidR="003D14C5" w:rsidRDefault="003D14C5" w:rsidP="003D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91" w:rsidRDefault="00354591" w:rsidP="0018493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905386" w:rsidRPr="0018493E" w:rsidRDefault="00955195" w:rsidP="001849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95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 xml:space="preserve">4.2.2 </w:t>
      </w:r>
      <w:r w:rsidR="0074689D">
        <w:rPr>
          <w:rFonts w:ascii="Times New Roman" w:eastAsiaTheme="minorEastAsia" w:hAnsi="Times New Roman" w:cs="Times New Roman"/>
          <w:b/>
          <w:sz w:val="28"/>
          <w:szCs w:val="24"/>
        </w:rPr>
        <w:t>Analysis of r</w:t>
      </w:r>
      <w:r w:rsidR="00905386" w:rsidRPr="00955195">
        <w:rPr>
          <w:rFonts w:ascii="Times New Roman" w:eastAsiaTheme="minorEastAsia" w:hAnsi="Times New Roman" w:cs="Times New Roman"/>
          <w:b/>
          <w:sz w:val="28"/>
          <w:szCs w:val="24"/>
        </w:rPr>
        <w:t>isk factors</w:t>
      </w:r>
      <w:r w:rsid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 involved in occurrence of ruminal acidosis</w:t>
      </w:r>
    </w:p>
    <w:p w:rsidR="00E56F9F" w:rsidRDefault="0074689D" w:rsidP="0090538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Both cattle and goat highest prevalent risk factor if feeding of cooked rice. Cooked rice </w:t>
      </w:r>
      <w:r w:rsidR="00DA3699">
        <w:rPr>
          <w:rFonts w:ascii="Times New Roman" w:eastAsiaTheme="minorEastAsia" w:hAnsi="Times New Roman" w:cs="Times New Roman"/>
          <w:sz w:val="24"/>
          <w:szCs w:val="24"/>
        </w:rPr>
        <w:t>was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risk factor in 50% cases in cattle and </w:t>
      </w:r>
      <w:r w:rsidR="00DA3699">
        <w:rPr>
          <w:rFonts w:ascii="Times New Roman" w:eastAsiaTheme="minorEastAsia" w:hAnsi="Times New Roman" w:cs="Times New Roman"/>
          <w:sz w:val="24"/>
          <w:szCs w:val="24"/>
        </w:rPr>
        <w:t>62.5% cases in goat</w:t>
      </w:r>
      <w:r w:rsidR="0092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1443" w:rsidRPr="0092144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921443">
        <w:rPr>
          <w:rFonts w:ascii="Times New Roman" w:eastAsiaTheme="minorEastAsia" w:hAnsi="Times New Roman" w:cs="Times New Roman"/>
          <w:b/>
          <w:sz w:val="24"/>
          <w:szCs w:val="24"/>
        </w:rPr>
        <w:t>Table 8</w:t>
      </w:r>
      <w:r w:rsidR="00921443" w:rsidRPr="00921443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</w:p>
    <w:p w:rsidR="0018493E" w:rsidRPr="00E56F9F" w:rsidRDefault="00921443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Table 8</w:t>
      </w:r>
      <w:r w:rsidR="00E56F9F" w:rsidRP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: </w:t>
      </w:r>
      <w:r w:rsidR="00E56F9F" w:rsidRPr="00E56F9F">
        <w:rPr>
          <w:rFonts w:ascii="Times New Roman" w:eastAsiaTheme="minorEastAsia" w:hAnsi="Times New Roman" w:cs="Times New Roman"/>
          <w:sz w:val="28"/>
          <w:szCs w:val="24"/>
        </w:rPr>
        <w:t>Analysis of</w:t>
      </w:r>
      <w:r w:rsid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 w:rsidR="00E56F9F">
        <w:rPr>
          <w:rFonts w:ascii="Times New Roman" w:eastAsiaTheme="minorEastAsia" w:hAnsi="Times New Roman" w:cs="Times New Roman"/>
          <w:sz w:val="28"/>
          <w:szCs w:val="24"/>
        </w:rPr>
        <w:t>r</w:t>
      </w:r>
      <w:r w:rsidR="00E56F9F" w:rsidRPr="00E56F9F">
        <w:rPr>
          <w:rFonts w:ascii="Times New Roman" w:eastAsiaTheme="minorEastAsia" w:hAnsi="Times New Roman" w:cs="Times New Roman"/>
          <w:sz w:val="28"/>
          <w:szCs w:val="24"/>
        </w:rPr>
        <w:t>isk factors involved in occurrence of ruminal acidosis in cattle and goat</w:t>
      </w:r>
      <w:r w:rsidR="0018493E" w:rsidRPr="00E56F9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170"/>
        <w:gridCol w:w="1980"/>
        <w:gridCol w:w="1980"/>
        <w:gridCol w:w="1170"/>
        <w:gridCol w:w="1350"/>
        <w:gridCol w:w="1710"/>
      </w:tblGrid>
      <w:tr w:rsidR="00675481" w:rsidRPr="006E39A1" w:rsidTr="00037F18">
        <w:trPr>
          <w:trHeight w:val="4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98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cases</w:t>
            </w:r>
          </w:p>
        </w:tc>
        <w:tc>
          <w:tcPr>
            <w:tcW w:w="135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(%) </w:t>
            </w:r>
          </w:p>
        </w:tc>
        <w:tc>
          <w:tcPr>
            <w:tcW w:w="171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675481" w:rsidRPr="006E39A1" w:rsidTr="00037F18">
        <w:trPr>
          <w:trHeight w:val="22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548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980" w:type="dxa"/>
            <w:vMerge w:val="restart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 </w:t>
            </w: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that Predispose the Ruminal acidosis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Cooked rice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5481" w:rsidRPr="00DA3699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675481" w:rsidRPr="006E39A1" w:rsidTr="00037F18">
        <w:trPr>
          <w:trHeight w:val="28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675481" w:rsidRPr="006E39A1" w:rsidTr="00037F18">
        <w:trPr>
          <w:trHeight w:val="180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Jackfruit residue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675481" w:rsidRPr="006E39A1" w:rsidTr="00037F18">
        <w:trPr>
          <w:trHeight w:val="10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675481" w:rsidRPr="006E39A1" w:rsidTr="00037F18">
        <w:trPr>
          <w:trHeight w:val="151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675481" w:rsidRPr="006E39A1" w:rsidTr="00037F18">
        <w:trPr>
          <w:trHeight w:val="41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980" w:type="dxa"/>
            <w:vMerge w:val="restart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Feed that predispose the Ruminal acidosis</w:t>
            </w:r>
          </w:p>
        </w:tc>
        <w:tc>
          <w:tcPr>
            <w:tcW w:w="198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Cooked rice</w:t>
            </w:r>
          </w:p>
        </w:tc>
        <w:tc>
          <w:tcPr>
            <w:tcW w:w="1170" w:type="dxa"/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675481" w:rsidRPr="00DA3699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99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  <w:tc>
          <w:tcPr>
            <w:tcW w:w="171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675481" w:rsidRPr="006E39A1" w:rsidTr="00037F18">
        <w:trPr>
          <w:trHeight w:val="323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Rice gruel</w:t>
            </w:r>
          </w:p>
        </w:tc>
        <w:tc>
          <w:tcPr>
            <w:tcW w:w="1170" w:type="dxa"/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675481" w:rsidRPr="006E39A1" w:rsidTr="00037F18">
        <w:trPr>
          <w:trHeight w:val="151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481" w:rsidRPr="006E39A1" w:rsidRDefault="00675481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:rsidR="00675481" w:rsidRPr="006E39A1" w:rsidRDefault="00675481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75481" w:rsidRPr="006E39A1" w:rsidRDefault="00675481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710" w:type="dxa"/>
          </w:tcPr>
          <w:p w:rsidR="00675481" w:rsidRPr="006E39A1" w:rsidRDefault="00675481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</w:tbl>
    <w:p w:rsidR="00E56F9F" w:rsidRPr="00152724" w:rsidRDefault="00037F18" w:rsidP="00152724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6E39A1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97346D">
        <w:rPr>
          <w:rFonts w:ascii="Times New Roman" w:eastAsiaTheme="minorEastAsia" w:hAnsi="Times New Roman" w:cs="Times New Roman"/>
          <w:sz w:val="24"/>
          <w:szCs w:val="24"/>
        </w:rPr>
        <w:t>CI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Confidence interval</w:t>
      </w:r>
    </w:p>
    <w:p w:rsidR="00037F18" w:rsidRPr="00955195" w:rsidRDefault="00955195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55195">
        <w:rPr>
          <w:rFonts w:ascii="Times New Roman" w:eastAsiaTheme="minorEastAsia" w:hAnsi="Times New Roman" w:cs="Times New Roman"/>
          <w:b/>
          <w:sz w:val="28"/>
          <w:szCs w:val="24"/>
        </w:rPr>
        <w:t xml:space="preserve">4.2.3 </w:t>
      </w:r>
      <w:r w:rsidR="00DA3699">
        <w:rPr>
          <w:rFonts w:ascii="Times New Roman" w:eastAsiaTheme="minorEastAsia" w:hAnsi="Times New Roman" w:cs="Times New Roman"/>
          <w:b/>
          <w:sz w:val="28"/>
          <w:szCs w:val="24"/>
        </w:rPr>
        <w:t>Analysis of c</w:t>
      </w:r>
      <w:r w:rsidR="00905386" w:rsidRPr="00955195">
        <w:rPr>
          <w:rFonts w:ascii="Times New Roman" w:eastAsiaTheme="minorEastAsia" w:hAnsi="Times New Roman" w:cs="Times New Roman"/>
          <w:b/>
          <w:sz w:val="28"/>
          <w:szCs w:val="24"/>
        </w:rPr>
        <w:t>linical signs</w:t>
      </w:r>
      <w:r w:rsid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 of ruminal acidosis</w:t>
      </w:r>
    </w:p>
    <w:p w:rsidR="00E56F9F" w:rsidRDefault="00905386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In terms of clinical signs, there were found moderate dehydration in most of the cases (62.5%) and in few cases there were found mild dehydration, the lowest percentage </w:t>
      </w:r>
      <w:r w:rsidR="00B766BC">
        <w:rPr>
          <w:rFonts w:ascii="Times New Roman" w:eastAsiaTheme="minorEastAsia" w:hAnsi="Times New Roman" w:cs="Times New Roman"/>
          <w:sz w:val="24"/>
          <w:szCs w:val="24"/>
        </w:rPr>
        <w:t>showed severe dehydration in bo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>th cattle and goat. Anuria was present 37.5% cases in cattle and 50% cases in goat. About 75% cases the abdomen size was normal and 25% cases the abd</w:t>
      </w:r>
      <w:r w:rsidR="0016401E">
        <w:rPr>
          <w:rFonts w:ascii="Times New Roman" w:eastAsiaTheme="minorEastAsia" w:hAnsi="Times New Roman" w:cs="Times New Roman"/>
          <w:sz w:val="24"/>
          <w:szCs w:val="24"/>
        </w:rPr>
        <w:t>omen was distended in bo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>th species. There were found higher percentage of cases with nasal discharge (37.5%) in comparison with goat (12.5%). Lameness was present only one case (12.5%) in cattle an</w:t>
      </w:r>
      <w:r w:rsidR="003267DC">
        <w:rPr>
          <w:rFonts w:ascii="Times New Roman" w:eastAsiaTheme="minorEastAsia" w:hAnsi="Times New Roman" w:cs="Times New Roman"/>
          <w:sz w:val="24"/>
          <w:szCs w:val="24"/>
        </w:rPr>
        <w:t xml:space="preserve">d no lameness was found in goat </w:t>
      </w:r>
      <w:r w:rsidR="00921443">
        <w:rPr>
          <w:rFonts w:ascii="Times New Roman" w:eastAsiaTheme="minorEastAsia" w:hAnsi="Times New Roman" w:cs="Times New Roman"/>
          <w:b/>
          <w:sz w:val="24"/>
          <w:szCs w:val="24"/>
        </w:rPr>
        <w:t>(Table 9</w:t>
      </w:r>
      <w:r w:rsidR="003267DC" w:rsidRPr="006E39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3267D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4B3B" w:rsidRDefault="00B24B3B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4B3B" w:rsidRDefault="00B24B3B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699" w:rsidRDefault="00DA3699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EB292C" w:rsidRDefault="00EB292C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EB292C" w:rsidRDefault="00EB292C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EB292C" w:rsidRDefault="00EB292C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8E26CC" w:rsidRPr="00E56F9F" w:rsidRDefault="00921443" w:rsidP="00905386">
      <w:pPr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Table 9</w:t>
      </w:r>
      <w:r w:rsidR="00E56F9F" w:rsidRPr="00E56F9F">
        <w:rPr>
          <w:rFonts w:ascii="Times New Roman" w:eastAsiaTheme="minorEastAsia" w:hAnsi="Times New Roman" w:cs="Times New Roman"/>
          <w:b/>
          <w:sz w:val="28"/>
          <w:szCs w:val="24"/>
        </w:rPr>
        <w:t>:</w:t>
      </w:r>
      <w:r w:rsidR="00E56F9F" w:rsidRPr="00E56F9F">
        <w:rPr>
          <w:rFonts w:ascii="Times New Roman" w:eastAsiaTheme="minorEastAsia" w:hAnsi="Times New Roman" w:cs="Times New Roman"/>
          <w:sz w:val="28"/>
          <w:szCs w:val="24"/>
        </w:rPr>
        <w:t xml:space="preserve"> Analysis of clinical signs involved in ruminal acidosis in cattle and goat</w:t>
      </w:r>
    </w:p>
    <w:tbl>
      <w:tblPr>
        <w:tblStyle w:val="TableGrid"/>
        <w:tblW w:w="9334" w:type="dxa"/>
        <w:tblInd w:w="134" w:type="dxa"/>
        <w:tblLayout w:type="fixed"/>
        <w:tblLook w:val="04A0"/>
      </w:tblPr>
      <w:tblGrid>
        <w:gridCol w:w="1054"/>
        <w:gridCol w:w="1620"/>
        <w:gridCol w:w="1530"/>
        <w:gridCol w:w="1440"/>
        <w:gridCol w:w="1890"/>
        <w:gridCol w:w="1800"/>
      </w:tblGrid>
      <w:tr w:rsidR="001D3CD8" w:rsidRPr="006E39A1" w:rsidTr="001D3CD8">
        <w:trPr>
          <w:trHeight w:val="40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62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cases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(%) 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1D3CD8" w:rsidRPr="006E39A1" w:rsidTr="001D3CD8">
        <w:trPr>
          <w:trHeight w:val="151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Feeding habit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1D3CD8" w:rsidRPr="006E39A1" w:rsidTr="001D3CD8">
        <w:trPr>
          <w:trHeight w:val="168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1D3CD8" w:rsidRPr="006E39A1" w:rsidTr="001D3CD8">
        <w:trPr>
          <w:trHeight w:val="151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1D3CD8" w:rsidRPr="006E39A1" w:rsidTr="001D3CD8">
        <w:trPr>
          <w:trHeight w:val="185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100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201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Urination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1D3CD8" w:rsidRPr="006E39A1" w:rsidTr="001D3CD8">
        <w:trPr>
          <w:trHeight w:val="8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1D3CD8" w:rsidRPr="006E39A1" w:rsidTr="001D3CD8">
        <w:trPr>
          <w:trHeight w:val="18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Abdomen size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36.2 – 113.7</w:t>
            </w:r>
          </w:p>
        </w:tc>
      </w:tr>
      <w:tr w:rsidR="001D3CD8" w:rsidRPr="006E39A1" w:rsidTr="001D3CD8">
        <w:trPr>
          <w:trHeight w:val="117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Distended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1D3CD8" w:rsidRPr="006E39A1" w:rsidTr="001D3CD8">
        <w:trPr>
          <w:trHeight w:val="278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Nasal discharge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1D3CD8" w:rsidRPr="006E39A1" w:rsidTr="001D3CD8">
        <w:trPr>
          <w:trHeight w:val="168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Lameness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1D3CD8" w:rsidRPr="006E39A1" w:rsidTr="0097346D">
        <w:trPr>
          <w:trHeight w:val="32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57.9 – 117.05</w:t>
            </w:r>
          </w:p>
        </w:tc>
      </w:tr>
      <w:tr w:rsidR="001D3CD8" w:rsidRPr="006E39A1" w:rsidTr="001D3CD8">
        <w:trPr>
          <w:trHeight w:val="151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Feeding habit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168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1D3CD8" w:rsidRPr="006E39A1" w:rsidTr="001D3CD8">
        <w:trPr>
          <w:trHeight w:val="151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Severe 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1D3CD8" w:rsidRPr="006E39A1" w:rsidTr="001D3CD8">
        <w:trPr>
          <w:trHeight w:val="185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100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201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Urination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8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1D3CD8" w:rsidRPr="006E39A1" w:rsidTr="001D3CD8">
        <w:trPr>
          <w:trHeight w:val="18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Abdomen size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36.2 – 113.7</w:t>
            </w:r>
          </w:p>
        </w:tc>
      </w:tr>
      <w:tr w:rsidR="001D3CD8" w:rsidRPr="006E39A1" w:rsidTr="001D3CD8">
        <w:trPr>
          <w:trHeight w:val="117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Distended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1D3CD8" w:rsidRPr="006E39A1" w:rsidTr="001D3CD8">
        <w:trPr>
          <w:trHeight w:val="350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Nasal discharge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1D3CD8" w:rsidRPr="006E39A1" w:rsidTr="001D3CD8">
        <w:trPr>
          <w:trHeight w:val="134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57.9 – 117.05</w:t>
            </w:r>
          </w:p>
        </w:tc>
      </w:tr>
      <w:tr w:rsidR="001D3CD8" w:rsidRPr="006E39A1" w:rsidTr="001D3CD8">
        <w:trPr>
          <w:trHeight w:val="332"/>
        </w:trPr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Lameness</w:t>
            </w: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D8" w:rsidRPr="006E39A1" w:rsidTr="001D3CD8">
        <w:trPr>
          <w:trHeight w:val="30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D8" w:rsidRPr="006E39A1" w:rsidRDefault="001D3CD8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</w:tcPr>
          <w:p w:rsidR="001D3CD8" w:rsidRPr="006E39A1" w:rsidRDefault="001D3CD8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D3CD8" w:rsidRPr="006E39A1" w:rsidRDefault="001D3CD8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1D3CD8" w:rsidRPr="006E39A1" w:rsidRDefault="001D3CD8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F18" w:rsidRDefault="00037F18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02B3" w:rsidRDefault="005F02B3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2724" w:rsidRPr="006E39A1" w:rsidRDefault="00152724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5386" w:rsidRPr="00955195" w:rsidRDefault="00955195" w:rsidP="00905386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55195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 xml:space="preserve">4.2.4 </w:t>
      </w:r>
      <w:r w:rsidR="00DA3699">
        <w:rPr>
          <w:rFonts w:ascii="Times New Roman" w:eastAsiaTheme="minorEastAsia" w:hAnsi="Times New Roman" w:cs="Times New Roman"/>
          <w:b/>
          <w:sz w:val="28"/>
          <w:szCs w:val="24"/>
        </w:rPr>
        <w:t>Analysis</w:t>
      </w:r>
      <w:r w:rsidR="00905386" w:rsidRPr="00955195">
        <w:rPr>
          <w:rFonts w:ascii="Times New Roman" w:eastAsiaTheme="minorEastAsia" w:hAnsi="Times New Roman" w:cs="Times New Roman"/>
          <w:b/>
          <w:sz w:val="28"/>
          <w:szCs w:val="24"/>
        </w:rPr>
        <w:t xml:space="preserve"> of rumen fluid</w:t>
      </w:r>
      <w:r w:rsid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 in ruminal acidosis</w:t>
      </w:r>
    </w:p>
    <w:p w:rsidR="00905386" w:rsidRDefault="00905386" w:rsidP="005A7A3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In terms of rumen fluid examination, there </w:t>
      </w:r>
      <w:r w:rsidR="005C4AF3" w:rsidRPr="006E39A1">
        <w:rPr>
          <w:rFonts w:ascii="Times New Roman" w:eastAsiaTheme="minorEastAsia" w:hAnsi="Times New Roman" w:cs="Times New Roman"/>
          <w:sz w:val="24"/>
          <w:szCs w:val="24"/>
        </w:rPr>
        <w:t>was found rumen microflora movement</w:t>
      </w:r>
      <w:r w:rsidR="005C4AF3">
        <w:rPr>
          <w:rFonts w:ascii="Times New Roman" w:eastAsiaTheme="minorEastAsia" w:hAnsi="Times New Roman" w:cs="Times New Roman"/>
          <w:sz w:val="24"/>
          <w:szCs w:val="24"/>
        </w:rPr>
        <w:t xml:space="preserve"> dramatically reduced in both species (87.5% in cattle, 75% in goat)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71000">
        <w:rPr>
          <w:rFonts w:ascii="Times New Roman" w:eastAsiaTheme="minorEastAsia" w:hAnsi="Times New Roman" w:cs="Times New Roman"/>
          <w:sz w:val="24"/>
          <w:szCs w:val="24"/>
        </w:rPr>
        <w:t>In most of cases the color of rumen fluid was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milky grey </w:t>
      </w:r>
      <w:r w:rsidR="00C7100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62.5% </w:t>
      </w:r>
      <w:r w:rsidR="00C71000">
        <w:rPr>
          <w:rFonts w:ascii="Times New Roman" w:eastAsiaTheme="minorEastAsia" w:hAnsi="Times New Roman" w:cs="Times New Roman"/>
          <w:sz w:val="24"/>
          <w:szCs w:val="24"/>
        </w:rPr>
        <w:t>in cattle and 37.5% in goat).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The consistency of rumen fluid were found thick watery</w:t>
      </w:r>
      <w:r w:rsidR="004E56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50% </w:t>
      </w:r>
      <w:r w:rsidR="004E5638">
        <w:rPr>
          <w:rFonts w:ascii="Times New Roman" w:eastAsiaTheme="minorEastAsia" w:hAnsi="Times New Roman" w:cs="Times New Roman"/>
          <w:sz w:val="24"/>
          <w:szCs w:val="24"/>
        </w:rPr>
        <w:t xml:space="preserve">cases in cattle 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4E5638">
        <w:rPr>
          <w:rFonts w:ascii="Times New Roman" w:eastAsiaTheme="minorEastAsia" w:hAnsi="Times New Roman" w:cs="Times New Roman"/>
          <w:sz w:val="24"/>
          <w:szCs w:val="24"/>
        </w:rPr>
        <w:t>watery in 37.5% cases in goat.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Most of the cases (87.5%) the odor of the rumen fluid were sour i</w:t>
      </w:r>
      <w:r w:rsidR="003267DC">
        <w:rPr>
          <w:rFonts w:ascii="Times New Roman" w:eastAsiaTheme="minorEastAsia" w:hAnsi="Times New Roman" w:cs="Times New Roman"/>
          <w:sz w:val="24"/>
          <w:szCs w:val="24"/>
        </w:rPr>
        <w:t xml:space="preserve">n both species </w:t>
      </w:r>
      <w:r w:rsidR="005A7A35">
        <w:rPr>
          <w:rFonts w:ascii="Times New Roman" w:eastAsiaTheme="minorEastAsia" w:hAnsi="Times New Roman" w:cs="Times New Roman"/>
          <w:b/>
          <w:sz w:val="24"/>
          <w:szCs w:val="24"/>
        </w:rPr>
        <w:t>(Table</w:t>
      </w:r>
      <w:r w:rsidR="00921443">
        <w:rPr>
          <w:rFonts w:ascii="Times New Roman" w:eastAsiaTheme="minorEastAsia" w:hAnsi="Times New Roman" w:cs="Times New Roman"/>
          <w:b/>
          <w:sz w:val="24"/>
          <w:szCs w:val="24"/>
        </w:rPr>
        <w:t xml:space="preserve"> 10</w:t>
      </w:r>
      <w:r w:rsidR="003267DC" w:rsidRPr="006E39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3267D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E56F9F" w:rsidRPr="00E56F9F" w:rsidRDefault="00921443" w:rsidP="005A7A35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Table 10</w:t>
      </w:r>
      <w:r w:rsidR="00E56F9F" w:rsidRPr="00E56F9F">
        <w:rPr>
          <w:rFonts w:ascii="Times New Roman" w:eastAsiaTheme="minorEastAsia" w:hAnsi="Times New Roman" w:cs="Times New Roman"/>
          <w:b/>
          <w:sz w:val="28"/>
          <w:szCs w:val="24"/>
        </w:rPr>
        <w:t xml:space="preserve">: </w:t>
      </w:r>
      <w:r w:rsidR="00E56F9F" w:rsidRPr="00E56F9F">
        <w:rPr>
          <w:rFonts w:ascii="Times New Roman" w:eastAsiaTheme="minorEastAsia" w:hAnsi="Times New Roman" w:cs="Times New Roman"/>
          <w:sz w:val="28"/>
          <w:szCs w:val="24"/>
        </w:rPr>
        <w:t>Analysis of rumen fluid in ruminal acidosis in cattle and goat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080"/>
        <w:gridCol w:w="1620"/>
        <w:gridCol w:w="1530"/>
        <w:gridCol w:w="1440"/>
        <w:gridCol w:w="1890"/>
        <w:gridCol w:w="1800"/>
      </w:tblGrid>
      <w:tr w:rsidR="00E56F9F" w:rsidRPr="006E39A1" w:rsidTr="00E56F9F">
        <w:trPr>
          <w:trHeight w:val="404"/>
        </w:trPr>
        <w:tc>
          <w:tcPr>
            <w:tcW w:w="1080" w:type="dxa"/>
          </w:tcPr>
          <w:p w:rsidR="00E56F9F" w:rsidRPr="006E39A1" w:rsidRDefault="00E56F9F" w:rsidP="0040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620" w:type="dxa"/>
          </w:tcPr>
          <w:p w:rsidR="00E56F9F" w:rsidRPr="006E39A1" w:rsidRDefault="00E56F9F" w:rsidP="004008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30" w:type="dxa"/>
          </w:tcPr>
          <w:p w:rsidR="00E56F9F" w:rsidRPr="006E39A1" w:rsidRDefault="00E56F9F" w:rsidP="004008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440" w:type="dxa"/>
          </w:tcPr>
          <w:p w:rsidR="00E56F9F" w:rsidRPr="006E39A1" w:rsidRDefault="00E56F9F" w:rsidP="0040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cases</w:t>
            </w:r>
          </w:p>
        </w:tc>
        <w:tc>
          <w:tcPr>
            <w:tcW w:w="1890" w:type="dxa"/>
          </w:tcPr>
          <w:p w:rsidR="00E56F9F" w:rsidRPr="006E39A1" w:rsidRDefault="00E56F9F" w:rsidP="004008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(%) </w:t>
            </w:r>
          </w:p>
        </w:tc>
        <w:tc>
          <w:tcPr>
            <w:tcW w:w="1800" w:type="dxa"/>
          </w:tcPr>
          <w:p w:rsidR="00E56F9F" w:rsidRPr="006E39A1" w:rsidRDefault="00E56F9F" w:rsidP="004008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E56F9F" w:rsidRPr="006E39A1" w:rsidTr="00E56F9F">
        <w:trPr>
          <w:trHeight w:val="5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Cattle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Rumen microflora movement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E56F9F" w:rsidRPr="006E39A1" w:rsidTr="00E56F9F">
        <w:trPr>
          <w:trHeight w:val="3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57.9 – 117.05</w:t>
            </w:r>
          </w:p>
        </w:tc>
      </w:tr>
      <w:tr w:rsidR="00E56F9F" w:rsidRPr="006E39A1" w:rsidTr="00E56F9F">
        <w:trPr>
          <w:trHeight w:val="1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Color of Rumen fluid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Greenish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1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Greenish brown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E56F9F" w:rsidRPr="006E39A1" w:rsidTr="00E56F9F">
        <w:trPr>
          <w:trHeight w:val="12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Milky  grey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19.2 – 105.7</w:t>
            </w:r>
          </w:p>
        </w:tc>
      </w:tr>
      <w:tr w:rsidR="00E56F9F" w:rsidRPr="006E39A1" w:rsidTr="00E56F9F">
        <w:trPr>
          <w:trHeight w:val="1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Consistency of Rumen fluid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Watery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13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Thick watery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5.31 – 94.7</w:t>
            </w:r>
          </w:p>
        </w:tc>
      </w:tr>
      <w:tr w:rsidR="00E56F9F" w:rsidRPr="006E39A1" w:rsidTr="00E56F9F">
        <w:trPr>
          <w:trHeight w:val="1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Gruel like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1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Odor of Rumen fluid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Sour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57.9 – 117.05</w:t>
            </w:r>
          </w:p>
        </w:tc>
      </w:tr>
      <w:tr w:rsidR="00E56F9F" w:rsidRPr="006E39A1" w:rsidTr="00E56F9F">
        <w:trPr>
          <w:trHeight w:val="12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Pungent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  <w:tr w:rsidR="00E56F9F" w:rsidRPr="006E39A1" w:rsidTr="00E56F9F">
        <w:trPr>
          <w:trHeight w:val="4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Rumen microflora movement</w:t>
            </w: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3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36.2 – 113.7</w:t>
            </w:r>
          </w:p>
        </w:tc>
      </w:tr>
      <w:tr w:rsidR="00E56F9F" w:rsidRPr="006E39A1" w:rsidTr="00E56F9F">
        <w:trPr>
          <w:trHeight w:val="1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Color of Rumen fluid </w:t>
            </w: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Greenish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E56F9F" w:rsidRPr="006E39A1" w:rsidTr="00E56F9F">
        <w:trPr>
          <w:trHeight w:val="1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Greenish brown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12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Milky  grey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E56F9F" w:rsidRPr="006E39A1" w:rsidTr="00E56F9F">
        <w:trPr>
          <w:trHeight w:val="1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Consistency of Rumen fluid</w:t>
            </w: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Watery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E56F9F" w:rsidRPr="006E39A1" w:rsidTr="00E56F9F">
        <w:trPr>
          <w:trHeight w:val="13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 xml:space="preserve">Thick watery 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13.7 – 63.7</w:t>
            </w:r>
          </w:p>
        </w:tc>
      </w:tr>
      <w:tr w:rsidR="00E56F9F" w:rsidRPr="006E39A1" w:rsidTr="00E56F9F">
        <w:trPr>
          <w:trHeight w:val="14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Gruel like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5.7 – 80.7</w:t>
            </w:r>
          </w:p>
        </w:tc>
      </w:tr>
      <w:tr w:rsidR="00E56F9F" w:rsidRPr="006E39A1" w:rsidTr="00E56F9F">
        <w:trPr>
          <w:trHeight w:val="1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Odor of Rumen fluid</w:t>
            </w: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Sour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56F9F" w:rsidRPr="00BE065C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C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57.9 – 117.05</w:t>
            </w:r>
          </w:p>
        </w:tc>
      </w:tr>
      <w:tr w:rsidR="00E56F9F" w:rsidRPr="006E39A1" w:rsidTr="00E56F9F">
        <w:trPr>
          <w:trHeight w:val="12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F" w:rsidRPr="006E39A1" w:rsidRDefault="00E56F9F" w:rsidP="0055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Pungent</w:t>
            </w:r>
          </w:p>
        </w:tc>
        <w:tc>
          <w:tcPr>
            <w:tcW w:w="1440" w:type="dxa"/>
          </w:tcPr>
          <w:p w:rsidR="00E56F9F" w:rsidRPr="006E39A1" w:rsidRDefault="00E56F9F" w:rsidP="005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56F9F" w:rsidRPr="006E39A1" w:rsidRDefault="00E56F9F" w:rsidP="0055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800" w:type="dxa"/>
          </w:tcPr>
          <w:p w:rsidR="00E56F9F" w:rsidRPr="006E39A1" w:rsidRDefault="00E56F9F" w:rsidP="00555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17.05 – 42.05</w:t>
            </w:r>
          </w:p>
        </w:tc>
      </w:tr>
    </w:tbl>
    <w:p w:rsidR="00391EF3" w:rsidRDefault="00391EF3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478" w:rsidRDefault="001E7478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95" w:rsidRDefault="005A7A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4.2.5</w:t>
      </w:r>
      <w:r w:rsidR="00955195" w:rsidRPr="0095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0" w:rsidRPr="00955195">
        <w:rPr>
          <w:rFonts w:ascii="Times New Roman" w:hAnsi="Times New Roman" w:cs="Times New Roman"/>
          <w:b/>
          <w:sz w:val="28"/>
          <w:szCs w:val="28"/>
        </w:rPr>
        <w:t>Rumen fluid and blood pH of different cases in relation with duration of illness</w:t>
      </w:r>
    </w:p>
    <w:p w:rsidR="0057639E" w:rsidRPr="00955195" w:rsidRDefault="0057639E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386" w:rsidRDefault="00921443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 11</w:t>
      </w:r>
      <w:r w:rsidR="00905386" w:rsidRPr="00955195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905386" w:rsidRPr="00955195">
        <w:rPr>
          <w:rFonts w:ascii="Times New Roman" w:hAnsi="Times New Roman" w:cs="Times New Roman"/>
          <w:sz w:val="28"/>
          <w:szCs w:val="24"/>
        </w:rPr>
        <w:t xml:space="preserve">Rumen fluid and blood pH of different cases in relation with duration of illness </w:t>
      </w:r>
      <w:r w:rsidR="00CA3C0F">
        <w:rPr>
          <w:rFonts w:ascii="Times New Roman" w:hAnsi="Times New Roman" w:cs="Times New Roman"/>
          <w:sz w:val="28"/>
          <w:szCs w:val="24"/>
        </w:rPr>
        <w:t>in cattle</w:t>
      </w:r>
    </w:p>
    <w:p w:rsidR="0057639E" w:rsidRPr="0057639E" w:rsidRDefault="0057639E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1332"/>
        <w:gridCol w:w="3150"/>
        <w:gridCol w:w="1980"/>
        <w:gridCol w:w="2898"/>
      </w:tblGrid>
      <w:tr w:rsidR="00905386" w:rsidRPr="006E39A1" w:rsidTr="00326A81">
        <w:trPr>
          <w:trHeight w:val="386"/>
        </w:trPr>
        <w:tc>
          <w:tcPr>
            <w:tcW w:w="1332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Case no.</w:t>
            </w:r>
          </w:p>
        </w:tc>
        <w:tc>
          <w:tcPr>
            <w:tcW w:w="3150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Duration of illness (Hours)</w:t>
            </w:r>
          </w:p>
        </w:tc>
        <w:tc>
          <w:tcPr>
            <w:tcW w:w="1980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Rumen fluid pH</w:t>
            </w:r>
          </w:p>
        </w:tc>
        <w:tc>
          <w:tcPr>
            <w:tcW w:w="2898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Blood pH (From Serum)</w:t>
            </w:r>
          </w:p>
        </w:tc>
      </w:tr>
      <w:tr w:rsidR="00905386" w:rsidRPr="006E39A1" w:rsidTr="00326A81">
        <w:trPr>
          <w:trHeight w:val="260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05386" w:rsidRPr="006E39A1" w:rsidTr="00326A81">
        <w:trPr>
          <w:trHeight w:val="197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05386" w:rsidRPr="006E39A1" w:rsidTr="00326A81">
        <w:trPr>
          <w:trHeight w:val="224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05386" w:rsidRPr="006E39A1" w:rsidTr="00326A81">
        <w:trPr>
          <w:trHeight w:val="269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05386" w:rsidRPr="006E39A1" w:rsidTr="00326A81">
        <w:trPr>
          <w:trHeight w:val="206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05386" w:rsidRPr="006E39A1" w:rsidTr="00326A81"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05386" w:rsidRPr="006E39A1" w:rsidTr="00326A81"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05386" w:rsidRPr="006E39A1" w:rsidTr="00326A81"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</w:tbl>
    <w:p w:rsidR="00905386" w:rsidRPr="006E39A1" w:rsidRDefault="00905386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86" w:rsidRPr="00955195" w:rsidRDefault="00921443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12</w:t>
      </w:r>
      <w:r w:rsidR="00905386" w:rsidRPr="009551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5386" w:rsidRPr="00955195">
        <w:rPr>
          <w:rFonts w:ascii="Times New Roman" w:hAnsi="Times New Roman" w:cs="Times New Roman"/>
          <w:sz w:val="28"/>
          <w:szCs w:val="28"/>
        </w:rPr>
        <w:t xml:space="preserve">Rumen fluid and blood pH of different cases in relation with duration of illness </w:t>
      </w:r>
      <w:r w:rsidR="00CA3C0F">
        <w:rPr>
          <w:rFonts w:ascii="Times New Roman" w:hAnsi="Times New Roman" w:cs="Times New Roman"/>
          <w:sz w:val="28"/>
          <w:szCs w:val="28"/>
        </w:rPr>
        <w:t>in goat</w:t>
      </w:r>
    </w:p>
    <w:p w:rsidR="00905386" w:rsidRPr="006E39A1" w:rsidRDefault="00905386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1332"/>
        <w:gridCol w:w="3150"/>
        <w:gridCol w:w="1980"/>
        <w:gridCol w:w="2898"/>
      </w:tblGrid>
      <w:tr w:rsidR="00905386" w:rsidRPr="006E39A1" w:rsidTr="00326A81">
        <w:trPr>
          <w:trHeight w:val="467"/>
        </w:trPr>
        <w:tc>
          <w:tcPr>
            <w:tcW w:w="1332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Case no.</w:t>
            </w:r>
          </w:p>
        </w:tc>
        <w:tc>
          <w:tcPr>
            <w:tcW w:w="3150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Duration of illness</w:t>
            </w:r>
            <w:r w:rsidR="0032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(Hours)</w:t>
            </w:r>
          </w:p>
        </w:tc>
        <w:tc>
          <w:tcPr>
            <w:tcW w:w="1980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Rumen pH</w:t>
            </w:r>
          </w:p>
        </w:tc>
        <w:tc>
          <w:tcPr>
            <w:tcW w:w="2898" w:type="dxa"/>
          </w:tcPr>
          <w:p w:rsidR="00905386" w:rsidRPr="006E39A1" w:rsidRDefault="00905386" w:rsidP="00C72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Blood pH</w:t>
            </w:r>
            <w:r w:rsidR="0032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9A1">
              <w:rPr>
                <w:rFonts w:ascii="Times New Roman" w:hAnsi="Times New Roman" w:cs="Times New Roman"/>
                <w:b/>
                <w:sz w:val="24"/>
                <w:szCs w:val="24"/>
              </w:rPr>
              <w:t>(From serum)</w:t>
            </w:r>
          </w:p>
        </w:tc>
      </w:tr>
      <w:tr w:rsidR="00905386" w:rsidRPr="006E39A1" w:rsidTr="00326A81">
        <w:trPr>
          <w:trHeight w:val="255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05386" w:rsidRPr="006E39A1" w:rsidTr="00326A81">
        <w:trPr>
          <w:trHeight w:val="269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05386" w:rsidRPr="006E39A1" w:rsidTr="00326A81">
        <w:trPr>
          <w:trHeight w:val="269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05386" w:rsidRPr="006E39A1" w:rsidTr="00326A81">
        <w:trPr>
          <w:trHeight w:val="255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05386" w:rsidRPr="006E39A1" w:rsidTr="00326A81">
        <w:trPr>
          <w:trHeight w:val="269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05386" w:rsidRPr="006E39A1" w:rsidTr="00326A81">
        <w:trPr>
          <w:trHeight w:val="269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05386" w:rsidRPr="006E39A1" w:rsidTr="00326A81">
        <w:trPr>
          <w:trHeight w:val="255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05386" w:rsidRPr="006E39A1" w:rsidTr="00326A81">
        <w:trPr>
          <w:trHeight w:val="435"/>
        </w:trPr>
        <w:tc>
          <w:tcPr>
            <w:tcW w:w="1332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905386" w:rsidRPr="006E39A1" w:rsidRDefault="00F62D2E" w:rsidP="00F62D2E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5386" w:rsidRPr="006E39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898" w:type="dxa"/>
          </w:tcPr>
          <w:p w:rsidR="00905386" w:rsidRPr="006E39A1" w:rsidRDefault="00905386" w:rsidP="00542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A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B24B3B" w:rsidRDefault="00B24B3B" w:rsidP="00B57F1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2D2E" w:rsidRDefault="00F62D2E" w:rsidP="00B57F1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rumen fluid pH is lowest at 12 hours later of onset of illness in cattle and at 17 hours later of onset of illnes</w:t>
      </w:r>
      <w:r w:rsidR="0046590B">
        <w:rPr>
          <w:rFonts w:ascii="Times New Roman" w:eastAsiaTheme="minorEastAsia" w:hAnsi="Times New Roman" w:cs="Times New Roman"/>
          <w:sz w:val="24"/>
          <w:szCs w:val="24"/>
        </w:rPr>
        <w:t>s in goat and highest at 48 hours in cattle and 72</w:t>
      </w:r>
      <w:r w:rsidR="00E70328">
        <w:rPr>
          <w:rFonts w:ascii="Times New Roman" w:eastAsiaTheme="minorEastAsia" w:hAnsi="Times New Roman" w:cs="Times New Roman"/>
          <w:sz w:val="24"/>
          <w:szCs w:val="24"/>
        </w:rPr>
        <w:t xml:space="preserve"> in goat. On the other hand</w:t>
      </w:r>
      <w:r w:rsidR="0046590B">
        <w:rPr>
          <w:rFonts w:ascii="Times New Roman" w:eastAsiaTheme="minorEastAsia" w:hAnsi="Times New Roman" w:cs="Times New Roman"/>
          <w:sz w:val="24"/>
          <w:szCs w:val="24"/>
        </w:rPr>
        <w:t xml:space="preserve"> blood pH lowest at 48 hours later onset of illness in both cattle and goat. As increase the duration of illness </w:t>
      </w:r>
      <w:r w:rsidR="00E70328">
        <w:rPr>
          <w:rFonts w:ascii="Times New Roman" w:eastAsiaTheme="minorEastAsia" w:hAnsi="Times New Roman" w:cs="Times New Roman"/>
          <w:sz w:val="24"/>
          <w:szCs w:val="24"/>
        </w:rPr>
        <w:t xml:space="preserve">the ruminal pH increase and serum pH decrease gradually </w:t>
      </w:r>
      <w:r w:rsidR="00921443">
        <w:rPr>
          <w:rFonts w:ascii="Times New Roman" w:eastAsiaTheme="minorEastAsia" w:hAnsi="Times New Roman" w:cs="Times New Roman"/>
          <w:b/>
          <w:sz w:val="24"/>
          <w:szCs w:val="24"/>
        </w:rPr>
        <w:t>(Table 11 and Table 12</w:t>
      </w:r>
      <w:r w:rsidR="00E70328" w:rsidRPr="00E70328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  <w:r w:rsidR="004659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05386" w:rsidRDefault="00905386" w:rsidP="00B57F1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39A1">
        <w:rPr>
          <w:rFonts w:ascii="Times New Roman" w:eastAsiaTheme="minorEastAsia" w:hAnsi="Times New Roman" w:cs="Times New Roman"/>
          <w:sz w:val="24"/>
          <w:szCs w:val="24"/>
        </w:rPr>
        <w:t>An impo</w:t>
      </w:r>
      <w:r w:rsidR="00B47C7E">
        <w:rPr>
          <w:rFonts w:ascii="Times New Roman" w:eastAsiaTheme="minorEastAsia" w:hAnsi="Times New Roman" w:cs="Times New Roman"/>
          <w:sz w:val="24"/>
          <w:szCs w:val="24"/>
        </w:rPr>
        <w:t>rtant findings of this study is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that there were found a positive correlation between the duration of illness of differe</w:t>
      </w:r>
      <w:r w:rsidR="004477EF">
        <w:rPr>
          <w:rFonts w:ascii="Times New Roman" w:eastAsiaTheme="minorEastAsia" w:hAnsi="Times New Roman" w:cs="Times New Roman"/>
          <w:sz w:val="24"/>
          <w:szCs w:val="24"/>
        </w:rPr>
        <w:t>nt cases and ruminal fluid pH (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i.e </w:t>
      </w:r>
      <w:bookmarkStart w:id="2" w:name="OLE_LINK7"/>
      <w:bookmarkStart w:id="3" w:name="OLE_LINK8"/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an increase in the duration of 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lastRenderedPageBreak/>
        <w:t>illness also increase the ruminal fluid pH up to the certain level</w:t>
      </w:r>
      <w:bookmarkEnd w:id="2"/>
      <w:bookmarkEnd w:id="3"/>
      <w:r w:rsidRPr="006E39A1">
        <w:rPr>
          <w:rFonts w:ascii="Times New Roman" w:eastAsiaTheme="minorEastAsia" w:hAnsi="Times New Roman" w:cs="Times New Roman"/>
          <w:sz w:val="24"/>
          <w:szCs w:val="24"/>
        </w:rPr>
        <w:t>) and a negative correlation between the du</w:t>
      </w:r>
      <w:r w:rsidR="004477EF">
        <w:rPr>
          <w:rFonts w:ascii="Times New Roman" w:eastAsiaTheme="minorEastAsia" w:hAnsi="Times New Roman" w:cs="Times New Roman"/>
          <w:sz w:val="24"/>
          <w:szCs w:val="24"/>
        </w:rPr>
        <w:t>ration of illness and serum pH (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>i.e an increase in the duration of illness results decrea</w:t>
      </w:r>
      <w:r w:rsidR="00CA436A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the serum pH up to a certain level). These correlations in case of cattle and goat</w:t>
      </w:r>
      <w:r w:rsidR="00CA436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are plotted in </w:t>
      </w:r>
      <w:r w:rsidR="00EB292C">
        <w:rPr>
          <w:rFonts w:ascii="Times New Roman" w:eastAsiaTheme="minorEastAsia" w:hAnsi="Times New Roman" w:cs="Times New Roman"/>
          <w:b/>
          <w:sz w:val="24"/>
          <w:szCs w:val="24"/>
        </w:rPr>
        <w:t xml:space="preserve">Fig. </w:t>
      </w:r>
      <w:r w:rsidR="00567596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515516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Fig.</w:t>
      </w:r>
      <w:r w:rsidR="00567596">
        <w:rPr>
          <w:rFonts w:ascii="Times New Roman" w:eastAsiaTheme="minorEastAsia" w:hAnsi="Times New Roman" w:cs="Times New Roman"/>
          <w:b/>
          <w:sz w:val="24"/>
          <w:szCs w:val="24"/>
        </w:rPr>
        <w:t xml:space="preserve"> 15</w:t>
      </w:r>
      <w:r w:rsidR="00EB292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429EB" w:rsidRPr="00B57F19" w:rsidRDefault="005429EB" w:rsidP="00B57F1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5386" w:rsidRPr="006E39A1" w:rsidRDefault="0064357D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left:0;text-align:left;margin-left:8.3pt;margin-top:124.65pt;width:9.7pt;height:51.25pt;z-index:251656192">
            <v:fill r:id="rId7" o:title="Water droplets" type="tile"/>
            <v:textbox style="layout-flow:vertical-ideographic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1pt;margin-top:178.95pt;width:31.85pt;height:39.1pt;z-index:251655168" stroked="f">
            <v:textbox style="mso-next-textbox:#_x0000_s1035">
              <w:txbxContent>
                <w:p w:rsidR="00A16C00" w:rsidRPr="007C2B1C" w:rsidRDefault="00A16C00" w:rsidP="0090538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2B1C">
                    <w:rPr>
                      <w:sz w:val="24"/>
                    </w:rPr>
                    <w:t xml:space="preserve"> </w:t>
                  </w:r>
                  <w:r w:rsidRPr="007C2B1C">
                    <w:rPr>
                      <w:rFonts w:ascii="Times New Roman" w:hAnsi="Times New Roman" w:cs="Times New Roman"/>
                      <w:sz w:val="24"/>
                    </w:rPr>
                    <w:t>pH</w:t>
                  </w:r>
                </w:p>
              </w:txbxContent>
            </v:textbox>
          </v:shape>
        </w:pict>
      </w:r>
      <w:r w:rsidR="00905386"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05386" w:rsidRPr="006E39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3020" cy="4441372"/>
            <wp:effectExtent l="19050" t="0" r="10530" b="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386" w:rsidRPr="006E39A1" w:rsidRDefault="0064357D" w:rsidP="0090538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 id="_x0000_s1034" type="#_x0000_t202" style="position:absolute;left:0;text-align:left;margin-left:57.2pt;margin-top:5.85pt;width:150.7pt;height:19.95pt;z-index:251657216;mso-width-relative:margin;mso-height-relative:margin" stroked="f">
            <v:textbox style="mso-next-textbox:#_x0000_s1034">
              <w:txbxContent>
                <w:p w:rsidR="00A16C00" w:rsidRPr="007C2B1C" w:rsidRDefault="00A16C00" w:rsidP="0090538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C2B1C">
                    <w:rPr>
                      <w:rFonts w:ascii="Times New Roman" w:hAnsi="Times New Roman" w:cs="Times New Roman"/>
                      <w:sz w:val="24"/>
                    </w:rPr>
                    <w:t>Duration of illness (Hours)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218.15pt;margin-top:10.05pt;width:50.45pt;height:10.45pt;z-index:251654144" fillcolor="white [3212]" strokecolor="#002060">
            <v:fill r:id="rId7" o:title="Water droplets" type="tile"/>
          </v:shape>
        </w:pict>
      </w:r>
    </w:p>
    <w:p w:rsidR="00B57F19" w:rsidRDefault="00B57F19" w:rsidP="0090538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29EB" w:rsidRDefault="00515516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Fig.</w:t>
      </w:r>
      <w:r w:rsidR="00567596">
        <w:rPr>
          <w:rFonts w:ascii="Times New Roman" w:eastAsiaTheme="minorEastAsia" w:hAnsi="Times New Roman" w:cs="Times New Roman"/>
          <w:b/>
          <w:sz w:val="24"/>
          <w:szCs w:val="24"/>
        </w:rPr>
        <w:t xml:space="preserve"> 14</w:t>
      </w:r>
      <w:r w:rsidR="00905386" w:rsidRPr="006E39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05386"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386" w:rsidRPr="006E39A1">
        <w:rPr>
          <w:rFonts w:ascii="Times New Roman" w:hAnsi="Times New Roman" w:cs="Times New Roman"/>
          <w:sz w:val="24"/>
          <w:szCs w:val="24"/>
        </w:rPr>
        <w:t>Changes in rumen and blood pH in relation with time elapse after onset of</w:t>
      </w:r>
      <w:r w:rsidR="005429EB">
        <w:rPr>
          <w:rFonts w:ascii="Times New Roman" w:hAnsi="Times New Roman" w:cs="Times New Roman"/>
          <w:sz w:val="24"/>
          <w:szCs w:val="24"/>
        </w:rPr>
        <w:t xml:space="preserve"> illness </w:t>
      </w:r>
      <w:r w:rsidR="00793B5C">
        <w:rPr>
          <w:rFonts w:ascii="Times New Roman" w:hAnsi="Times New Roman" w:cs="Times New Roman"/>
          <w:sz w:val="24"/>
          <w:szCs w:val="24"/>
        </w:rPr>
        <w:t>in</w:t>
      </w:r>
    </w:p>
    <w:p w:rsidR="00905386" w:rsidRPr="006E39A1" w:rsidRDefault="00793B5C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29EB">
        <w:rPr>
          <w:rFonts w:ascii="Times New Roman" w:hAnsi="Times New Roman" w:cs="Times New Roman"/>
          <w:sz w:val="24"/>
          <w:szCs w:val="24"/>
        </w:rPr>
        <w:t xml:space="preserve"> </w:t>
      </w:r>
      <w:r w:rsidR="0032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cattle</w:t>
      </w:r>
      <w:r w:rsidR="00905386" w:rsidRPr="006E39A1">
        <w:rPr>
          <w:rFonts w:ascii="Times New Roman" w:hAnsi="Times New Roman" w:cs="Times New Roman"/>
          <w:sz w:val="24"/>
          <w:szCs w:val="24"/>
        </w:rPr>
        <w:t>.</w:t>
      </w:r>
    </w:p>
    <w:p w:rsidR="00905386" w:rsidRPr="006E39A1" w:rsidRDefault="00905386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5386" w:rsidRPr="006E39A1" w:rsidRDefault="0064357D" w:rsidP="0090538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 id="_x0000_s1041" type="#_x0000_t68" style="position:absolute;left:0;text-align:left;margin-left:9.1pt;margin-top:141.3pt;width:9.7pt;height:51.25pt;z-index:251659264">
            <v:fill r:id="rId7" o:title="Water droplets" type="tile"/>
            <v:textbox style="layout-flow:vertical-ideographic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-3.3pt;margin-top:194.5pt;width:31.85pt;height:32.55pt;z-index:251661312" stroked="f">
            <v:textbox style="mso-next-textbox:#_x0000_s1036">
              <w:txbxContent>
                <w:p w:rsidR="00A16C00" w:rsidRDefault="00A16C00" w:rsidP="00905386">
                  <w:r>
                    <w:t xml:space="preserve"> pH</w:t>
                  </w:r>
                </w:p>
              </w:txbxContent>
            </v:textbox>
          </v:shape>
        </w:pict>
      </w:r>
      <w:r w:rsidR="00905386"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05386" w:rsidRPr="006E39A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5534402" cy="4541855"/>
            <wp:effectExtent l="19050" t="0" r="28198" b="0"/>
            <wp:docPr id="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386" w:rsidRPr="006E39A1" w:rsidRDefault="0064357D" w:rsidP="0090538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83.6pt;margin-top:10.8pt;width:161.15pt;height:19.95pt;z-index:251660288;mso-width-relative:margin;mso-height-relative:margin" filled="f" stroked="f">
            <v:textbox style="mso-next-textbox:#_x0000_s1037">
              <w:txbxContent>
                <w:p w:rsidR="00A16C00" w:rsidRPr="002E69B0" w:rsidRDefault="00A16C00" w:rsidP="0090538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E69B0">
                    <w:rPr>
                      <w:rFonts w:ascii="Times New Roman" w:hAnsi="Times New Roman" w:cs="Times New Roman"/>
                      <w:sz w:val="24"/>
                    </w:rPr>
                    <w:t>Duration of illness (Hours)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8" type="#_x0000_t13" style="position:absolute;left:0;text-align:left;margin-left:231.15pt;margin-top:14.85pt;width:50.45pt;height:10.45pt;z-index:251658240" fillcolor="white [3212]" strokecolor="#002060">
            <v:fill r:id="rId7" o:title="Water droplets" type="tile"/>
          </v:shape>
        </w:pict>
      </w:r>
    </w:p>
    <w:p w:rsidR="00554D3A" w:rsidRDefault="00554D3A" w:rsidP="0090538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4D3A" w:rsidRDefault="00554D3A" w:rsidP="0090538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93B5C" w:rsidRDefault="00515516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Fig.</w:t>
      </w:r>
      <w:r w:rsidR="00567596">
        <w:rPr>
          <w:rFonts w:ascii="Times New Roman" w:eastAsiaTheme="minorEastAsia" w:hAnsi="Times New Roman" w:cs="Times New Roman"/>
          <w:b/>
          <w:sz w:val="24"/>
          <w:szCs w:val="24"/>
        </w:rPr>
        <w:t xml:space="preserve"> 15</w:t>
      </w:r>
      <w:r w:rsidR="00905386" w:rsidRPr="006E39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05386" w:rsidRPr="006E3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5386" w:rsidRPr="006E39A1">
        <w:rPr>
          <w:rFonts w:ascii="Times New Roman" w:hAnsi="Times New Roman" w:cs="Times New Roman"/>
          <w:sz w:val="24"/>
          <w:szCs w:val="24"/>
        </w:rPr>
        <w:t>Changes in rumen and blood pH in relation wi</w:t>
      </w:r>
      <w:r w:rsidR="00793B5C">
        <w:rPr>
          <w:rFonts w:ascii="Times New Roman" w:hAnsi="Times New Roman" w:cs="Times New Roman"/>
          <w:sz w:val="24"/>
          <w:szCs w:val="24"/>
        </w:rPr>
        <w:t>th time elapse after onset of</w:t>
      </w:r>
      <w:r w:rsidR="00B47C7E">
        <w:rPr>
          <w:rFonts w:ascii="Times New Roman" w:hAnsi="Times New Roman" w:cs="Times New Roman"/>
          <w:sz w:val="24"/>
          <w:szCs w:val="24"/>
        </w:rPr>
        <w:t xml:space="preserve"> Illness </w:t>
      </w:r>
      <w:r w:rsidR="00793B5C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905386" w:rsidRDefault="00793B5C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goat.</w:t>
      </w: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335" w:rsidRDefault="00D02335" w:rsidP="00905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6D" w:rsidRDefault="0097346D" w:rsidP="00D0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AD" w:rsidRDefault="00A777CF" w:rsidP="00D02335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4.2.6</w:t>
      </w:r>
      <w:r w:rsidR="00D02335" w:rsidRPr="00955195">
        <w:rPr>
          <w:rFonts w:ascii="Times New Roman" w:eastAsiaTheme="minorEastAsia" w:hAnsi="Times New Roman" w:cs="Times New Roman"/>
          <w:b/>
          <w:sz w:val="28"/>
          <w:szCs w:val="24"/>
        </w:rPr>
        <w:t xml:space="preserve"> Response to treatment</w:t>
      </w:r>
    </w:p>
    <w:p w:rsidR="004F1DFB" w:rsidRPr="004F1DFB" w:rsidRDefault="00D02335" w:rsidP="004F1DFB">
      <w:pPr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Table</w:t>
      </w:r>
      <w:r w:rsidR="00921443">
        <w:rPr>
          <w:rFonts w:ascii="Times New Roman" w:eastAsiaTheme="minorEastAsia" w:hAnsi="Times New Roman" w:cs="Times New Roman"/>
          <w:b/>
          <w:sz w:val="28"/>
          <w:szCs w:val="24"/>
        </w:rPr>
        <w:t xml:space="preserve"> 13</w:t>
      </w: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: </w:t>
      </w:r>
      <w:r w:rsidR="00152724">
        <w:rPr>
          <w:rFonts w:ascii="Times New Roman" w:eastAsiaTheme="minorEastAsia" w:hAnsi="Times New Roman" w:cs="Times New Roman"/>
          <w:sz w:val="28"/>
          <w:szCs w:val="24"/>
        </w:rPr>
        <w:t>R</w:t>
      </w:r>
      <w:r w:rsidRPr="00D02335">
        <w:rPr>
          <w:rFonts w:ascii="Times New Roman" w:eastAsiaTheme="minorEastAsia" w:hAnsi="Times New Roman" w:cs="Times New Roman"/>
          <w:sz w:val="28"/>
          <w:szCs w:val="24"/>
        </w:rPr>
        <w:t xml:space="preserve">esponse to treatment of </w:t>
      </w:r>
      <w:r w:rsidR="00152724">
        <w:rPr>
          <w:rFonts w:ascii="Times New Roman" w:eastAsiaTheme="minorEastAsia" w:hAnsi="Times New Roman" w:cs="Times New Roman"/>
          <w:sz w:val="28"/>
          <w:szCs w:val="24"/>
        </w:rPr>
        <w:t>different groups of animals in different treatments</w:t>
      </w:r>
    </w:p>
    <w:tbl>
      <w:tblPr>
        <w:tblStyle w:val="TableGrid"/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350"/>
        <w:gridCol w:w="630"/>
        <w:gridCol w:w="630"/>
        <w:gridCol w:w="1080"/>
        <w:gridCol w:w="900"/>
        <w:gridCol w:w="990"/>
        <w:gridCol w:w="990"/>
        <w:gridCol w:w="990"/>
        <w:gridCol w:w="990"/>
      </w:tblGrid>
      <w:tr w:rsidR="004F1DFB" w:rsidRPr="00966643" w:rsidTr="00A16C00">
        <w:trPr>
          <w:trHeight w:val="318"/>
        </w:trPr>
        <w:tc>
          <w:tcPr>
            <w:tcW w:w="1080" w:type="dxa"/>
            <w:vMerge w:val="restart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1080" w:type="dxa"/>
            <w:vMerge w:val="restart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No. of animals</w:t>
            </w:r>
          </w:p>
        </w:tc>
        <w:tc>
          <w:tcPr>
            <w:tcW w:w="1350" w:type="dxa"/>
            <w:vMerge w:val="restart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Treatment strategy</w:t>
            </w:r>
          </w:p>
        </w:tc>
        <w:tc>
          <w:tcPr>
            <w:tcW w:w="7200" w:type="dxa"/>
            <w:gridSpan w:val="8"/>
          </w:tcPr>
          <w:p w:rsidR="004F1DFB" w:rsidRPr="00966643" w:rsidRDefault="004F1DFB" w:rsidP="00A16C0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Number of recovered animals (within days)</w:t>
            </w:r>
          </w:p>
        </w:tc>
      </w:tr>
      <w:tr w:rsidR="004F1DFB" w:rsidRPr="00966643" w:rsidTr="00A16C00">
        <w:trPr>
          <w:trHeight w:val="430"/>
        </w:trPr>
        <w:tc>
          <w:tcPr>
            <w:tcW w:w="1080" w:type="dxa"/>
            <w:vMerge/>
          </w:tcPr>
          <w:p w:rsidR="004F1DFB" w:rsidRPr="00966643" w:rsidRDefault="004F1DFB" w:rsidP="00A16C0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1DFB" w:rsidRPr="00966643" w:rsidRDefault="004F1DFB" w:rsidP="00A16C0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F1DFB" w:rsidRPr="00966643" w:rsidRDefault="004F1DFB" w:rsidP="00A16C0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63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08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90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b/>
                <w:sz w:val="24"/>
                <w:szCs w:val="24"/>
              </w:rPr>
              <w:t>Day 8</w:t>
            </w:r>
          </w:p>
        </w:tc>
      </w:tr>
      <w:tr w:rsidR="004F1DFB" w:rsidRPr="00966643" w:rsidTr="00A16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80" w:type="dxa"/>
            <w:tcBorders>
              <w:righ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Ruminal Alkalizer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1 (25%)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F1DFB" w:rsidRPr="00E80552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F1DFB" w:rsidRPr="00E80552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(100%)</w:t>
            </w:r>
          </w:p>
        </w:tc>
      </w:tr>
      <w:tr w:rsidR="004F1DFB" w:rsidRPr="00966643" w:rsidTr="00A16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Ruminal Alkalizer+ purgative</w:t>
            </w:r>
          </w:p>
        </w:tc>
        <w:tc>
          <w:tcPr>
            <w:tcW w:w="63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990" w:type="dxa"/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FB" w:rsidRPr="00966643" w:rsidTr="00A16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Systemic alkalizer+ fluid</w:t>
            </w:r>
          </w:p>
        </w:tc>
        <w:tc>
          <w:tcPr>
            <w:tcW w:w="63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00" w:type="dxa"/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99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990" w:type="dxa"/>
          </w:tcPr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FB" w:rsidRPr="00966643" w:rsidTr="00A16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4F1DFB" w:rsidRPr="00966643" w:rsidRDefault="00BB50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1DFB" w:rsidRPr="00966643">
              <w:rPr>
                <w:rFonts w:ascii="Times New Roman" w:hAnsi="Times New Roman" w:cs="Times New Roman"/>
                <w:sz w:val="24"/>
                <w:szCs w:val="24"/>
              </w:rPr>
              <w:t>uminal and systemic alkalizer+ fluid</w:t>
            </w:r>
          </w:p>
        </w:tc>
        <w:tc>
          <w:tcPr>
            <w:tcW w:w="63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F1DFB" w:rsidRPr="00E80552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(62.5%)</w:t>
            </w:r>
          </w:p>
        </w:tc>
        <w:tc>
          <w:tcPr>
            <w:tcW w:w="90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F1DFB" w:rsidRPr="00966643" w:rsidRDefault="004F1DFB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3"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99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FB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4F1DFB" w:rsidRPr="00E80552" w:rsidRDefault="004F1DFB" w:rsidP="00A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(100</w:t>
            </w:r>
            <w:r w:rsidR="006367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E805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0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B" w:rsidRPr="00966643" w:rsidRDefault="00A16C00" w:rsidP="00A1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1DFB" w:rsidRDefault="004F1DFB" w:rsidP="004F1DFB"/>
    <w:p w:rsidR="00BF76A1" w:rsidRPr="004F1DFB" w:rsidRDefault="004F1DFB" w:rsidP="004F1DF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FB">
        <w:rPr>
          <w:rFonts w:ascii="Times New Roman" w:hAnsi="Times New Roman" w:cs="Times New Roman"/>
          <w:sz w:val="24"/>
          <w:szCs w:val="24"/>
        </w:rPr>
        <w:t xml:space="preserve">Among the 4 types of treatment to different groups, the group </w:t>
      </w:r>
      <w:r w:rsidR="00036467">
        <w:rPr>
          <w:rFonts w:ascii="Times New Roman" w:hAnsi="Times New Roman" w:cs="Times New Roman"/>
          <w:sz w:val="24"/>
          <w:szCs w:val="24"/>
        </w:rPr>
        <w:t>‘</w:t>
      </w:r>
      <w:r w:rsidRPr="004F1DFB">
        <w:rPr>
          <w:rFonts w:ascii="Times New Roman" w:hAnsi="Times New Roman" w:cs="Times New Roman"/>
          <w:sz w:val="24"/>
          <w:szCs w:val="24"/>
        </w:rPr>
        <w:t>D</w:t>
      </w:r>
      <w:r w:rsidR="00036467">
        <w:rPr>
          <w:rFonts w:ascii="Times New Roman" w:hAnsi="Times New Roman" w:cs="Times New Roman"/>
          <w:sz w:val="24"/>
          <w:szCs w:val="24"/>
        </w:rPr>
        <w:t>’</w:t>
      </w:r>
      <w:r w:rsidRPr="004F1DFB">
        <w:rPr>
          <w:rFonts w:ascii="Times New Roman" w:hAnsi="Times New Roman" w:cs="Times New Roman"/>
          <w:sz w:val="24"/>
          <w:szCs w:val="24"/>
        </w:rPr>
        <w:t xml:space="preserve"> </w:t>
      </w:r>
      <w:r w:rsidR="0071787B">
        <w:rPr>
          <w:rFonts w:ascii="Times New Roman" w:hAnsi="Times New Roman" w:cs="Times New Roman"/>
          <w:sz w:val="24"/>
          <w:szCs w:val="24"/>
        </w:rPr>
        <w:t>cases</w:t>
      </w:r>
      <w:r w:rsidRPr="004F1DFB">
        <w:rPr>
          <w:rFonts w:ascii="Times New Roman" w:hAnsi="Times New Roman" w:cs="Times New Roman"/>
          <w:sz w:val="24"/>
          <w:szCs w:val="24"/>
        </w:rPr>
        <w:t xml:space="preserve"> were responding quickly than other groups. The </w:t>
      </w:r>
      <w:r w:rsidR="00511F2A" w:rsidRPr="004F1DFB">
        <w:rPr>
          <w:rFonts w:ascii="Times New Roman" w:hAnsi="Times New Roman" w:cs="Times New Roman"/>
          <w:sz w:val="24"/>
          <w:szCs w:val="24"/>
        </w:rPr>
        <w:t>highe</w:t>
      </w:r>
      <w:r w:rsidR="00511F2A">
        <w:rPr>
          <w:rFonts w:ascii="Times New Roman" w:hAnsi="Times New Roman" w:cs="Times New Roman"/>
          <w:sz w:val="24"/>
          <w:szCs w:val="24"/>
        </w:rPr>
        <w:t>st</w:t>
      </w:r>
      <w:r w:rsidRPr="004F1DFB">
        <w:rPr>
          <w:rFonts w:ascii="Times New Roman" w:hAnsi="Times New Roman" w:cs="Times New Roman"/>
          <w:sz w:val="24"/>
          <w:szCs w:val="24"/>
        </w:rPr>
        <w:t xml:space="preserve"> percentage (62.5%) of recovery rate was observed in </w:t>
      </w:r>
      <w:r w:rsidR="00036467">
        <w:rPr>
          <w:rFonts w:ascii="Times New Roman" w:hAnsi="Times New Roman" w:cs="Times New Roman"/>
          <w:sz w:val="24"/>
          <w:szCs w:val="24"/>
        </w:rPr>
        <w:t>‘</w:t>
      </w:r>
      <w:r w:rsidRPr="004F1DFB">
        <w:rPr>
          <w:rFonts w:ascii="Times New Roman" w:hAnsi="Times New Roman" w:cs="Times New Roman"/>
          <w:sz w:val="24"/>
          <w:szCs w:val="24"/>
        </w:rPr>
        <w:t>D</w:t>
      </w:r>
      <w:r w:rsidR="00036467">
        <w:rPr>
          <w:rFonts w:ascii="Times New Roman" w:hAnsi="Times New Roman" w:cs="Times New Roman"/>
          <w:sz w:val="24"/>
          <w:szCs w:val="24"/>
        </w:rPr>
        <w:t>’</w:t>
      </w:r>
      <w:r w:rsidRPr="004F1DFB">
        <w:rPr>
          <w:rFonts w:ascii="Times New Roman" w:hAnsi="Times New Roman" w:cs="Times New Roman"/>
          <w:sz w:val="24"/>
          <w:szCs w:val="24"/>
        </w:rPr>
        <w:t xml:space="preserve"> </w:t>
      </w:r>
      <w:r w:rsidR="006F5A83">
        <w:rPr>
          <w:rFonts w:ascii="Times New Roman" w:hAnsi="Times New Roman" w:cs="Times New Roman"/>
          <w:sz w:val="24"/>
          <w:szCs w:val="24"/>
        </w:rPr>
        <w:t xml:space="preserve">group animals within third day and 100% </w:t>
      </w:r>
      <w:r w:rsidRPr="004F1DFB">
        <w:rPr>
          <w:rFonts w:ascii="Times New Roman" w:hAnsi="Times New Roman" w:cs="Times New Roman"/>
          <w:sz w:val="24"/>
          <w:szCs w:val="24"/>
        </w:rPr>
        <w:t xml:space="preserve">recoveries were observed within 5 days in </w:t>
      </w:r>
      <w:r w:rsidR="00036467">
        <w:rPr>
          <w:rFonts w:ascii="Times New Roman" w:hAnsi="Times New Roman" w:cs="Times New Roman"/>
          <w:sz w:val="24"/>
          <w:szCs w:val="24"/>
        </w:rPr>
        <w:t>‘</w:t>
      </w:r>
      <w:r w:rsidRPr="004F1DFB">
        <w:rPr>
          <w:rFonts w:ascii="Times New Roman" w:hAnsi="Times New Roman" w:cs="Times New Roman"/>
          <w:sz w:val="24"/>
          <w:szCs w:val="24"/>
        </w:rPr>
        <w:t>D</w:t>
      </w:r>
      <w:r w:rsidR="00036467">
        <w:rPr>
          <w:rFonts w:ascii="Times New Roman" w:hAnsi="Times New Roman" w:cs="Times New Roman"/>
          <w:sz w:val="24"/>
          <w:szCs w:val="24"/>
        </w:rPr>
        <w:t>’</w:t>
      </w:r>
      <w:r w:rsidRPr="004F1DFB">
        <w:rPr>
          <w:rFonts w:ascii="Times New Roman" w:hAnsi="Times New Roman" w:cs="Times New Roman"/>
          <w:sz w:val="24"/>
          <w:szCs w:val="24"/>
        </w:rPr>
        <w:t xml:space="preserve"> group. Other groups were </w:t>
      </w:r>
      <w:r w:rsidR="00511F2A" w:rsidRPr="004F1DFB">
        <w:rPr>
          <w:rFonts w:ascii="Times New Roman" w:hAnsi="Times New Roman" w:cs="Times New Roman"/>
          <w:sz w:val="24"/>
          <w:szCs w:val="24"/>
        </w:rPr>
        <w:t>taken</w:t>
      </w:r>
      <w:r w:rsidRPr="004F1DFB">
        <w:rPr>
          <w:rFonts w:ascii="Times New Roman" w:hAnsi="Times New Roman" w:cs="Times New Roman"/>
          <w:sz w:val="24"/>
          <w:szCs w:val="24"/>
        </w:rPr>
        <w:t xml:space="preserve"> more than 5 days for 100% recovery. So </w:t>
      </w:r>
      <w:r w:rsidR="00036467" w:rsidRPr="004F1DFB">
        <w:rPr>
          <w:rFonts w:ascii="Times New Roman" w:hAnsi="Times New Roman" w:cs="Times New Roman"/>
          <w:sz w:val="24"/>
          <w:szCs w:val="24"/>
        </w:rPr>
        <w:t xml:space="preserve">treatment </w:t>
      </w:r>
      <w:r w:rsidR="0071787B">
        <w:rPr>
          <w:rFonts w:ascii="Times New Roman" w:hAnsi="Times New Roman" w:cs="Times New Roman"/>
          <w:sz w:val="24"/>
          <w:szCs w:val="24"/>
        </w:rPr>
        <w:t>with</w:t>
      </w:r>
      <w:r w:rsidRPr="004F1DFB">
        <w:rPr>
          <w:rFonts w:ascii="Times New Roman" w:hAnsi="Times New Roman" w:cs="Times New Roman"/>
          <w:sz w:val="24"/>
          <w:szCs w:val="24"/>
        </w:rPr>
        <w:t xml:space="preserve"> ruminal and systemic alkalizer along with fluid therapy were more effective </w:t>
      </w:r>
      <w:r w:rsidR="001E1723">
        <w:rPr>
          <w:rFonts w:ascii="Times New Roman" w:hAnsi="Times New Roman" w:cs="Times New Roman"/>
          <w:sz w:val="24"/>
          <w:szCs w:val="24"/>
        </w:rPr>
        <w:t>for ruminal acidosis than other treatment group.</w:t>
      </w:r>
    </w:p>
    <w:p w:rsidR="003D14C5" w:rsidRPr="004F1DFB" w:rsidRDefault="003D14C5" w:rsidP="00326A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14C5" w:rsidRPr="004F1DFB" w:rsidSect="009A6860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C5" w:rsidRDefault="00C470C5" w:rsidP="00554D3A">
      <w:pPr>
        <w:spacing w:after="0" w:line="240" w:lineRule="auto"/>
      </w:pPr>
      <w:r>
        <w:separator/>
      </w:r>
    </w:p>
  </w:endnote>
  <w:endnote w:type="continuationSeparator" w:id="1">
    <w:p w:rsidR="00C470C5" w:rsidRDefault="00C470C5" w:rsidP="0055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00" w:rsidRPr="004F7AF9" w:rsidRDefault="00A16C00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4F7AF9">
      <w:rPr>
        <w:rFonts w:ascii="Times New Roman" w:hAnsi="Times New Roman" w:cs="Times New Roman"/>
        <w:i/>
        <w:sz w:val="24"/>
        <w:szCs w:val="24"/>
      </w:rPr>
      <w:t>June, 2013</w:t>
    </w:r>
    <w:r w:rsidRPr="004F7AF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Pr="004F7AF9">
      <w:rPr>
        <w:rFonts w:ascii="Times New Roman" w:hAnsi="Times New Roman" w:cs="Times New Roman"/>
        <w:i/>
        <w:sz w:val="24"/>
        <w:szCs w:val="24"/>
      </w:rPr>
      <w:t xml:space="preserve">Page </w:t>
    </w:r>
    <w:r w:rsidRPr="004F7AF9">
      <w:rPr>
        <w:rFonts w:ascii="Times New Roman" w:hAnsi="Times New Roman" w:cs="Times New Roman"/>
        <w:i/>
        <w:sz w:val="24"/>
        <w:szCs w:val="24"/>
      </w:rPr>
      <w:fldChar w:fldCharType="begin"/>
    </w:r>
    <w:r w:rsidRPr="004F7AF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Pr="004F7AF9">
      <w:rPr>
        <w:rFonts w:ascii="Times New Roman" w:hAnsi="Times New Roman" w:cs="Times New Roman"/>
        <w:i/>
        <w:sz w:val="24"/>
        <w:szCs w:val="24"/>
      </w:rPr>
      <w:fldChar w:fldCharType="separate"/>
    </w:r>
    <w:r w:rsidR="00BB50FB">
      <w:rPr>
        <w:rFonts w:ascii="Times New Roman" w:hAnsi="Times New Roman" w:cs="Times New Roman"/>
        <w:i/>
        <w:noProof/>
        <w:sz w:val="24"/>
        <w:szCs w:val="24"/>
      </w:rPr>
      <w:t>36</w:t>
    </w:r>
    <w:r w:rsidRPr="004F7AF9">
      <w:rPr>
        <w:rFonts w:ascii="Times New Roman" w:hAnsi="Times New Roman" w:cs="Times New Roman"/>
        <w:i/>
        <w:sz w:val="24"/>
        <w:szCs w:val="24"/>
      </w:rPr>
      <w:fldChar w:fldCharType="end"/>
    </w:r>
  </w:p>
  <w:p w:rsidR="00A16C00" w:rsidRDefault="00A16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C5" w:rsidRDefault="00C470C5" w:rsidP="00554D3A">
      <w:pPr>
        <w:spacing w:after="0" w:line="240" w:lineRule="auto"/>
      </w:pPr>
      <w:r>
        <w:separator/>
      </w:r>
    </w:p>
  </w:footnote>
  <w:footnote w:type="continuationSeparator" w:id="1">
    <w:p w:rsidR="00C470C5" w:rsidRDefault="00C470C5" w:rsidP="0055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00" w:rsidRPr="00554D3A" w:rsidRDefault="00A16C0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i/>
        <w:color w:val="1F497D" w:themeColor="text2"/>
        <w:sz w:val="28"/>
        <w:szCs w:val="28"/>
      </w:rPr>
    </w:pPr>
  </w:p>
  <w:p w:rsidR="00A16C00" w:rsidRPr="00554D3A" w:rsidRDefault="00A16C0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i/>
        <w:color w:val="4F81BD" w:themeColor="accent1"/>
        <w:sz w:val="28"/>
        <w:szCs w:val="28"/>
      </w:rPr>
    </w:pPr>
  </w:p>
  <w:sdt>
    <w:sdtPr>
      <w:rPr>
        <w:rFonts w:ascii="Times New Roman" w:hAnsi="Times New Roman" w:cs="Times New Roman"/>
        <w:i/>
        <w:sz w:val="28"/>
        <w:szCs w:val="28"/>
      </w:rPr>
      <w:alias w:val="Author"/>
      <w:id w:val="77887908"/>
      <w:placeholder>
        <w:docPart w:val="F5371134FC58428797A72CEEFEE3B40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16C00" w:rsidRPr="00554D3A" w:rsidRDefault="00A16C0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i/>
            <w:color w:val="808080" w:themeColor="text1" w:themeTint="7F"/>
            <w:sz w:val="28"/>
            <w:szCs w:val="28"/>
          </w:rPr>
        </w:pPr>
        <w:r w:rsidRPr="004F7AF9">
          <w:rPr>
            <w:rFonts w:ascii="Times New Roman" w:hAnsi="Times New Roman" w:cs="Times New Roman"/>
            <w:i/>
            <w:sz w:val="28"/>
            <w:szCs w:val="28"/>
          </w:rPr>
          <w:t>RESULTS</w:t>
        </w:r>
      </w:p>
    </w:sdtContent>
  </w:sdt>
  <w:p w:rsidR="00A16C00" w:rsidRPr="00554D3A" w:rsidRDefault="00A16C00">
    <w:pPr>
      <w:pStyle w:val="Header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4C0"/>
    <w:rsid w:val="000225F8"/>
    <w:rsid w:val="0002518A"/>
    <w:rsid w:val="00036467"/>
    <w:rsid w:val="00037F18"/>
    <w:rsid w:val="0004084F"/>
    <w:rsid w:val="00064997"/>
    <w:rsid w:val="00077EC9"/>
    <w:rsid w:val="00084659"/>
    <w:rsid w:val="000A0E63"/>
    <w:rsid w:val="000B0AA1"/>
    <w:rsid w:val="000C4EAD"/>
    <w:rsid w:val="000C6CDC"/>
    <w:rsid w:val="000F0109"/>
    <w:rsid w:val="000F67B1"/>
    <w:rsid w:val="001071BA"/>
    <w:rsid w:val="00132345"/>
    <w:rsid w:val="00152724"/>
    <w:rsid w:val="00156850"/>
    <w:rsid w:val="0016401E"/>
    <w:rsid w:val="0017131D"/>
    <w:rsid w:val="0018493E"/>
    <w:rsid w:val="00187183"/>
    <w:rsid w:val="001A608B"/>
    <w:rsid w:val="001B2888"/>
    <w:rsid w:val="001B626D"/>
    <w:rsid w:val="001B6D02"/>
    <w:rsid w:val="001D3CD8"/>
    <w:rsid w:val="001E1723"/>
    <w:rsid w:val="001E3457"/>
    <w:rsid w:val="001E7478"/>
    <w:rsid w:val="001F2B54"/>
    <w:rsid w:val="00203BB5"/>
    <w:rsid w:val="00207DD3"/>
    <w:rsid w:val="002104F2"/>
    <w:rsid w:val="002133DD"/>
    <w:rsid w:val="00217067"/>
    <w:rsid w:val="00222E36"/>
    <w:rsid w:val="002426FE"/>
    <w:rsid w:val="00243354"/>
    <w:rsid w:val="002445CC"/>
    <w:rsid w:val="00244EAE"/>
    <w:rsid w:val="0024785A"/>
    <w:rsid w:val="002571AC"/>
    <w:rsid w:val="002649D4"/>
    <w:rsid w:val="00272902"/>
    <w:rsid w:val="002818A5"/>
    <w:rsid w:val="002834C0"/>
    <w:rsid w:val="002845CB"/>
    <w:rsid w:val="0029303A"/>
    <w:rsid w:val="002B0C94"/>
    <w:rsid w:val="002B3264"/>
    <w:rsid w:val="002B7FD6"/>
    <w:rsid w:val="002C3969"/>
    <w:rsid w:val="002D2FBF"/>
    <w:rsid w:val="002D7DC1"/>
    <w:rsid w:val="002E46E3"/>
    <w:rsid w:val="002F5651"/>
    <w:rsid w:val="003047FF"/>
    <w:rsid w:val="00306505"/>
    <w:rsid w:val="00322545"/>
    <w:rsid w:val="003263CF"/>
    <w:rsid w:val="003267DC"/>
    <w:rsid w:val="00326A81"/>
    <w:rsid w:val="0033441D"/>
    <w:rsid w:val="00343A3F"/>
    <w:rsid w:val="0035244E"/>
    <w:rsid w:val="00354591"/>
    <w:rsid w:val="0036480F"/>
    <w:rsid w:val="00377711"/>
    <w:rsid w:val="0038533B"/>
    <w:rsid w:val="00391EF3"/>
    <w:rsid w:val="003A2F74"/>
    <w:rsid w:val="003B7589"/>
    <w:rsid w:val="003C331B"/>
    <w:rsid w:val="003D08B6"/>
    <w:rsid w:val="003D14C5"/>
    <w:rsid w:val="003D427C"/>
    <w:rsid w:val="003F0619"/>
    <w:rsid w:val="003F1BEA"/>
    <w:rsid w:val="003F5705"/>
    <w:rsid w:val="00400875"/>
    <w:rsid w:val="00401176"/>
    <w:rsid w:val="00403E75"/>
    <w:rsid w:val="00405996"/>
    <w:rsid w:val="00442968"/>
    <w:rsid w:val="00442CF4"/>
    <w:rsid w:val="004477EF"/>
    <w:rsid w:val="0046590B"/>
    <w:rsid w:val="00475207"/>
    <w:rsid w:val="004A4393"/>
    <w:rsid w:val="004A527F"/>
    <w:rsid w:val="004B3310"/>
    <w:rsid w:val="004C67FA"/>
    <w:rsid w:val="004D3E0E"/>
    <w:rsid w:val="004E45AF"/>
    <w:rsid w:val="004E5638"/>
    <w:rsid w:val="004F1DFB"/>
    <w:rsid w:val="004F39C0"/>
    <w:rsid w:val="004F7AF9"/>
    <w:rsid w:val="00501529"/>
    <w:rsid w:val="00504B60"/>
    <w:rsid w:val="00511F2A"/>
    <w:rsid w:val="00512891"/>
    <w:rsid w:val="00515516"/>
    <w:rsid w:val="00523279"/>
    <w:rsid w:val="00523B7D"/>
    <w:rsid w:val="00534482"/>
    <w:rsid w:val="0054061F"/>
    <w:rsid w:val="005415BA"/>
    <w:rsid w:val="00541B4B"/>
    <w:rsid w:val="005429EB"/>
    <w:rsid w:val="0054439A"/>
    <w:rsid w:val="00554D3A"/>
    <w:rsid w:val="00555691"/>
    <w:rsid w:val="00563B87"/>
    <w:rsid w:val="005660B3"/>
    <w:rsid w:val="00567596"/>
    <w:rsid w:val="0057639E"/>
    <w:rsid w:val="0058710E"/>
    <w:rsid w:val="005A7A35"/>
    <w:rsid w:val="005B2D23"/>
    <w:rsid w:val="005B56B2"/>
    <w:rsid w:val="005C0547"/>
    <w:rsid w:val="005C0835"/>
    <w:rsid w:val="005C4AF3"/>
    <w:rsid w:val="005D1B75"/>
    <w:rsid w:val="005E1283"/>
    <w:rsid w:val="005F02B3"/>
    <w:rsid w:val="005F2960"/>
    <w:rsid w:val="005F5BC3"/>
    <w:rsid w:val="006042AF"/>
    <w:rsid w:val="00605982"/>
    <w:rsid w:val="00611D3B"/>
    <w:rsid w:val="00612FCA"/>
    <w:rsid w:val="00616AE3"/>
    <w:rsid w:val="006179B7"/>
    <w:rsid w:val="00623F8A"/>
    <w:rsid w:val="00634957"/>
    <w:rsid w:val="006367D0"/>
    <w:rsid w:val="0064357D"/>
    <w:rsid w:val="006466CC"/>
    <w:rsid w:val="00652EBE"/>
    <w:rsid w:val="00675481"/>
    <w:rsid w:val="00686158"/>
    <w:rsid w:val="0069042D"/>
    <w:rsid w:val="006A713E"/>
    <w:rsid w:val="006E05E5"/>
    <w:rsid w:val="006E39A1"/>
    <w:rsid w:val="006E4479"/>
    <w:rsid w:val="006F5A83"/>
    <w:rsid w:val="00705FE0"/>
    <w:rsid w:val="0071787B"/>
    <w:rsid w:val="00722D48"/>
    <w:rsid w:val="0073789C"/>
    <w:rsid w:val="00744AFC"/>
    <w:rsid w:val="00744D94"/>
    <w:rsid w:val="007451D4"/>
    <w:rsid w:val="0074689D"/>
    <w:rsid w:val="00757694"/>
    <w:rsid w:val="00771DE0"/>
    <w:rsid w:val="0078209F"/>
    <w:rsid w:val="00782577"/>
    <w:rsid w:val="00793B5C"/>
    <w:rsid w:val="007B3B7E"/>
    <w:rsid w:val="007C0E72"/>
    <w:rsid w:val="007C506F"/>
    <w:rsid w:val="007D5C60"/>
    <w:rsid w:val="007F63FC"/>
    <w:rsid w:val="008148CD"/>
    <w:rsid w:val="008219F5"/>
    <w:rsid w:val="00842790"/>
    <w:rsid w:val="00844956"/>
    <w:rsid w:val="00853E5B"/>
    <w:rsid w:val="00862B20"/>
    <w:rsid w:val="00863843"/>
    <w:rsid w:val="00864960"/>
    <w:rsid w:val="008657B8"/>
    <w:rsid w:val="0086777E"/>
    <w:rsid w:val="00874F56"/>
    <w:rsid w:val="008759FA"/>
    <w:rsid w:val="008916E0"/>
    <w:rsid w:val="00891E1A"/>
    <w:rsid w:val="008B439F"/>
    <w:rsid w:val="008D7A3F"/>
    <w:rsid w:val="008E113A"/>
    <w:rsid w:val="008E1362"/>
    <w:rsid w:val="008E26CC"/>
    <w:rsid w:val="008E326C"/>
    <w:rsid w:val="00905386"/>
    <w:rsid w:val="00921443"/>
    <w:rsid w:val="00923611"/>
    <w:rsid w:val="00924247"/>
    <w:rsid w:val="00926C28"/>
    <w:rsid w:val="00940C07"/>
    <w:rsid w:val="00955195"/>
    <w:rsid w:val="00955C95"/>
    <w:rsid w:val="00971548"/>
    <w:rsid w:val="0097346D"/>
    <w:rsid w:val="009804FE"/>
    <w:rsid w:val="00981C12"/>
    <w:rsid w:val="00987E31"/>
    <w:rsid w:val="00993972"/>
    <w:rsid w:val="00995EE9"/>
    <w:rsid w:val="00996459"/>
    <w:rsid w:val="009A6860"/>
    <w:rsid w:val="009B1A8B"/>
    <w:rsid w:val="009B2A8A"/>
    <w:rsid w:val="009D08D7"/>
    <w:rsid w:val="009E656E"/>
    <w:rsid w:val="009E7571"/>
    <w:rsid w:val="00A00D99"/>
    <w:rsid w:val="00A16C00"/>
    <w:rsid w:val="00A270BF"/>
    <w:rsid w:val="00A35EA4"/>
    <w:rsid w:val="00A52A8A"/>
    <w:rsid w:val="00A52B4B"/>
    <w:rsid w:val="00A544AB"/>
    <w:rsid w:val="00A558F9"/>
    <w:rsid w:val="00A60324"/>
    <w:rsid w:val="00A6645D"/>
    <w:rsid w:val="00A668A9"/>
    <w:rsid w:val="00A722D7"/>
    <w:rsid w:val="00A73148"/>
    <w:rsid w:val="00A74806"/>
    <w:rsid w:val="00A74D4A"/>
    <w:rsid w:val="00A777CF"/>
    <w:rsid w:val="00A903E1"/>
    <w:rsid w:val="00AA6021"/>
    <w:rsid w:val="00AB5E6D"/>
    <w:rsid w:val="00AC1DCA"/>
    <w:rsid w:val="00AD0E13"/>
    <w:rsid w:val="00AD110D"/>
    <w:rsid w:val="00AD76DB"/>
    <w:rsid w:val="00AF4474"/>
    <w:rsid w:val="00B01A41"/>
    <w:rsid w:val="00B202B7"/>
    <w:rsid w:val="00B24B3B"/>
    <w:rsid w:val="00B30B0B"/>
    <w:rsid w:val="00B478E1"/>
    <w:rsid w:val="00B47C7E"/>
    <w:rsid w:val="00B57F19"/>
    <w:rsid w:val="00B71EAF"/>
    <w:rsid w:val="00B735A7"/>
    <w:rsid w:val="00B766BC"/>
    <w:rsid w:val="00B82B91"/>
    <w:rsid w:val="00B930BA"/>
    <w:rsid w:val="00BB50FB"/>
    <w:rsid w:val="00BB5AE2"/>
    <w:rsid w:val="00BC08AC"/>
    <w:rsid w:val="00BD2FE2"/>
    <w:rsid w:val="00BD4054"/>
    <w:rsid w:val="00BE065C"/>
    <w:rsid w:val="00BE1E04"/>
    <w:rsid w:val="00BF39FF"/>
    <w:rsid w:val="00BF6523"/>
    <w:rsid w:val="00BF6922"/>
    <w:rsid w:val="00BF76A1"/>
    <w:rsid w:val="00C00B43"/>
    <w:rsid w:val="00C11AA5"/>
    <w:rsid w:val="00C265BD"/>
    <w:rsid w:val="00C3011A"/>
    <w:rsid w:val="00C305F0"/>
    <w:rsid w:val="00C309E4"/>
    <w:rsid w:val="00C32523"/>
    <w:rsid w:val="00C332CF"/>
    <w:rsid w:val="00C44770"/>
    <w:rsid w:val="00C46BBB"/>
    <w:rsid w:val="00C470C5"/>
    <w:rsid w:val="00C56CC2"/>
    <w:rsid w:val="00C65D27"/>
    <w:rsid w:val="00C71000"/>
    <w:rsid w:val="00C729F8"/>
    <w:rsid w:val="00C72B9B"/>
    <w:rsid w:val="00C770AD"/>
    <w:rsid w:val="00C81B14"/>
    <w:rsid w:val="00C82B7C"/>
    <w:rsid w:val="00CA3C0F"/>
    <w:rsid w:val="00CA436A"/>
    <w:rsid w:val="00CC2283"/>
    <w:rsid w:val="00CE346F"/>
    <w:rsid w:val="00CF3CBD"/>
    <w:rsid w:val="00D008F3"/>
    <w:rsid w:val="00D02335"/>
    <w:rsid w:val="00D160FA"/>
    <w:rsid w:val="00D17DCD"/>
    <w:rsid w:val="00D24267"/>
    <w:rsid w:val="00D31F4F"/>
    <w:rsid w:val="00D32769"/>
    <w:rsid w:val="00D605CD"/>
    <w:rsid w:val="00D74D0F"/>
    <w:rsid w:val="00D831A5"/>
    <w:rsid w:val="00DA3699"/>
    <w:rsid w:val="00DC5F6E"/>
    <w:rsid w:val="00DC65FA"/>
    <w:rsid w:val="00DD28FC"/>
    <w:rsid w:val="00DD2C45"/>
    <w:rsid w:val="00DD375C"/>
    <w:rsid w:val="00DE6677"/>
    <w:rsid w:val="00DF6755"/>
    <w:rsid w:val="00E00A1A"/>
    <w:rsid w:val="00E024C2"/>
    <w:rsid w:val="00E33010"/>
    <w:rsid w:val="00E45F26"/>
    <w:rsid w:val="00E53DC5"/>
    <w:rsid w:val="00E56F9F"/>
    <w:rsid w:val="00E62858"/>
    <w:rsid w:val="00E67D40"/>
    <w:rsid w:val="00E70328"/>
    <w:rsid w:val="00E821D8"/>
    <w:rsid w:val="00E874FE"/>
    <w:rsid w:val="00E94A5E"/>
    <w:rsid w:val="00EB063F"/>
    <w:rsid w:val="00EB1EAE"/>
    <w:rsid w:val="00EB2450"/>
    <w:rsid w:val="00EB292C"/>
    <w:rsid w:val="00EB4278"/>
    <w:rsid w:val="00EC52D0"/>
    <w:rsid w:val="00ED5035"/>
    <w:rsid w:val="00ED538D"/>
    <w:rsid w:val="00ED6056"/>
    <w:rsid w:val="00EE149E"/>
    <w:rsid w:val="00EE417D"/>
    <w:rsid w:val="00EE5D06"/>
    <w:rsid w:val="00EF2C90"/>
    <w:rsid w:val="00EF4835"/>
    <w:rsid w:val="00F00DC4"/>
    <w:rsid w:val="00F1605C"/>
    <w:rsid w:val="00F272ED"/>
    <w:rsid w:val="00F3328F"/>
    <w:rsid w:val="00F6052C"/>
    <w:rsid w:val="00F62D2E"/>
    <w:rsid w:val="00F764AC"/>
    <w:rsid w:val="00F91BFB"/>
    <w:rsid w:val="00FA60C6"/>
    <w:rsid w:val="00FC41D7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5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3A"/>
  </w:style>
  <w:style w:type="paragraph" w:styleId="Footer">
    <w:name w:val="footer"/>
    <w:basedOn w:val="Normal"/>
    <w:link w:val="FooterChar"/>
    <w:uiPriority w:val="99"/>
    <w:unhideWhenUsed/>
    <w:rsid w:val="0055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250127032393534E-2"/>
          <c:y val="2.0426023207612568E-2"/>
          <c:w val="0.66384352415421755"/>
          <c:h val="0.9118798796619006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Rumen pH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12</c:v>
                </c:pt>
                <c:pt idx="1">
                  <c:v>15</c:v>
                </c:pt>
                <c:pt idx="2">
                  <c:v>16</c:v>
                </c:pt>
                <c:pt idx="3">
                  <c:v>20</c:v>
                </c:pt>
                <c:pt idx="4">
                  <c:v>24</c:v>
                </c:pt>
                <c:pt idx="5">
                  <c:v>28</c:v>
                </c:pt>
                <c:pt idx="6">
                  <c:v>30</c:v>
                </c:pt>
                <c:pt idx="7">
                  <c:v>48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4.2</c:v>
                </c:pt>
                <c:pt idx="1">
                  <c:v>4.5999999999999996</c:v>
                </c:pt>
                <c:pt idx="2">
                  <c:v>4.5</c:v>
                </c:pt>
                <c:pt idx="3">
                  <c:v>4.8</c:v>
                </c:pt>
                <c:pt idx="4">
                  <c:v>5.2</c:v>
                </c:pt>
                <c:pt idx="5">
                  <c:v>5</c:v>
                </c:pt>
                <c:pt idx="6">
                  <c:v>5.8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Blood pH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12</c:v>
                </c:pt>
                <c:pt idx="1">
                  <c:v>15</c:v>
                </c:pt>
                <c:pt idx="2">
                  <c:v>16</c:v>
                </c:pt>
                <c:pt idx="3">
                  <c:v>20</c:v>
                </c:pt>
                <c:pt idx="4">
                  <c:v>24</c:v>
                </c:pt>
                <c:pt idx="5">
                  <c:v>28</c:v>
                </c:pt>
                <c:pt idx="6">
                  <c:v>30</c:v>
                </c:pt>
                <c:pt idx="7">
                  <c:v>48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7.4</c:v>
                </c:pt>
                <c:pt idx="1">
                  <c:v>7.4</c:v>
                </c:pt>
                <c:pt idx="2">
                  <c:v>7.4</c:v>
                </c:pt>
                <c:pt idx="3">
                  <c:v>7.2</c:v>
                </c:pt>
                <c:pt idx="4">
                  <c:v>7.1</c:v>
                </c:pt>
                <c:pt idx="5">
                  <c:v>7</c:v>
                </c:pt>
                <c:pt idx="6">
                  <c:v>7</c:v>
                </c:pt>
                <c:pt idx="7">
                  <c:v>6.8</c:v>
                </c:pt>
              </c:numCache>
            </c:numRef>
          </c:val>
        </c:ser>
        <c:marker val="1"/>
        <c:axId val="62896384"/>
        <c:axId val="64741760"/>
      </c:lineChart>
      <c:catAx>
        <c:axId val="62896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64741760"/>
        <c:crosses val="autoZero"/>
        <c:auto val="1"/>
        <c:lblAlgn val="ctr"/>
        <c:lblOffset val="100"/>
      </c:catAx>
      <c:valAx>
        <c:axId val="64741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62896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0"/>
        <c:txPr>
          <a:bodyPr/>
          <a:lstStyle/>
          <a:p>
            <a:pPr>
              <a:defRPr sz="1400"/>
            </a:pPr>
            <a:endParaRPr lang="en-US"/>
          </a:p>
        </c:txPr>
      </c:legendEntry>
      <c:layout>
        <c:manualLayout>
          <c:xMode val="edge"/>
          <c:yMode val="edge"/>
          <c:x val="0.73105112665458927"/>
          <c:y val="0.43917605604316684"/>
          <c:w val="0.25367491934571718"/>
          <c:h val="0.16410708545888839"/>
        </c:manualLayout>
      </c:layout>
    </c:legend>
    <c:plotVisOnly val="1"/>
  </c:chart>
  <c:spPr>
    <a:ln>
      <a:solidFill>
        <a:schemeClr val="tx1"/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250127032393034E-2"/>
          <c:y val="2.0426023207612568E-2"/>
          <c:w val="0.66384352415421755"/>
          <c:h val="0.9118798796619006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Rumen pH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21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72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4.2</c:v>
                </c:pt>
                <c:pt idx="1">
                  <c:v>4</c:v>
                </c:pt>
                <c:pt idx="2">
                  <c:v>5</c:v>
                </c:pt>
                <c:pt idx="3">
                  <c:v>4.5</c:v>
                </c:pt>
                <c:pt idx="4">
                  <c:v>5</c:v>
                </c:pt>
                <c:pt idx="5">
                  <c:v>5.2</c:v>
                </c:pt>
                <c:pt idx="6">
                  <c:v>5.5</c:v>
                </c:pt>
                <c:pt idx="7">
                  <c:v>5.8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Blood pH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21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72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7.4</c:v>
                </c:pt>
                <c:pt idx="1">
                  <c:v>7.4</c:v>
                </c:pt>
                <c:pt idx="2">
                  <c:v>7.2</c:v>
                </c:pt>
                <c:pt idx="3">
                  <c:v>7.3</c:v>
                </c:pt>
                <c:pt idx="4">
                  <c:v>7.1</c:v>
                </c:pt>
                <c:pt idx="5">
                  <c:v>7.2</c:v>
                </c:pt>
                <c:pt idx="6">
                  <c:v>6.8</c:v>
                </c:pt>
                <c:pt idx="7">
                  <c:v>7</c:v>
                </c:pt>
              </c:numCache>
            </c:numRef>
          </c:val>
        </c:ser>
        <c:marker val="1"/>
        <c:axId val="66831104"/>
        <c:axId val="66833024"/>
      </c:lineChart>
      <c:catAx>
        <c:axId val="66831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66833024"/>
        <c:crosses val="autoZero"/>
        <c:auto val="1"/>
        <c:lblAlgn val="ctr"/>
        <c:lblOffset val="100"/>
      </c:catAx>
      <c:valAx>
        <c:axId val="66833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668311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en-US"/>
          </a:p>
        </c:txPr>
      </c:legendEntry>
      <c:layout>
        <c:manualLayout>
          <c:xMode val="edge"/>
          <c:yMode val="edge"/>
          <c:x val="0.73105112665458927"/>
          <c:y val="0.43917605604316684"/>
          <c:w val="0.25367491934571718"/>
          <c:h val="0.16410708545888827"/>
        </c:manualLayout>
      </c:layout>
    </c:legend>
    <c:plotVisOnly val="1"/>
  </c:chart>
  <c:spPr>
    <a:ln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0.07672</cdr:x>
      <cdr:y>0.20821</cdr:y>
    </cdr:from>
    <cdr:to>
      <cdr:x>0.77933</cdr:x>
      <cdr:y>0.4387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V="1">
          <a:off x="382772" y="1307805"/>
          <a:ext cx="3505200" cy="144780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0.13853</cdr:x>
      <cdr:y>0.0474</cdr:y>
    </cdr:from>
    <cdr:to>
      <cdr:x>0.76476</cdr:x>
      <cdr:y>0.15658</cdr:y>
    </cdr:to>
    <cdr:cxnSp macro="">
      <cdr:nvCxnSpPr>
        <cdr:cNvPr id="11" name="Straight Arrow Connector 10"/>
        <cdr:cNvCxnSpPr/>
      </cdr:nvCxnSpPr>
      <cdr:spPr>
        <a:xfrm xmlns:a="http://schemas.openxmlformats.org/drawingml/2006/main">
          <a:off x="691116" y="297712"/>
          <a:ext cx="3124200" cy="68580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rgbClr val="00B05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0.07672</cdr:x>
      <cdr:y>0.23532</cdr:y>
    </cdr:from>
    <cdr:to>
      <cdr:x>0.77933</cdr:x>
      <cdr:y>0.46581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V="1">
          <a:off x="485529" y="1476893"/>
          <a:ext cx="4446529" cy="1446607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0.08457</cdr:x>
      <cdr:y>0.06441</cdr:y>
    </cdr:from>
    <cdr:to>
      <cdr:x>0.80277</cdr:x>
      <cdr:y>0.1392</cdr:y>
    </cdr:to>
    <cdr:cxnSp macro="">
      <cdr:nvCxnSpPr>
        <cdr:cNvPr id="15" name="Straight Arrow Connector 14"/>
        <cdr:cNvCxnSpPr/>
      </cdr:nvCxnSpPr>
      <cdr:spPr>
        <a:xfrm xmlns:a="http://schemas.openxmlformats.org/drawingml/2006/main">
          <a:off x="531628" y="404037"/>
          <a:ext cx="4514629" cy="469197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rgbClr val="00B05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371134FC58428797A72CEEFEE3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31AA-EB9C-438C-96B6-3FB43490D224}"/>
      </w:docPartPr>
      <w:docPartBody>
        <w:p w:rsidR="007F7E73" w:rsidRDefault="007F7E73" w:rsidP="007F7E73">
          <w:pPr>
            <w:pStyle w:val="F5371134FC58428797A72CEEFEE3B40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7E73"/>
    <w:rsid w:val="000860A4"/>
    <w:rsid w:val="000F1195"/>
    <w:rsid w:val="001532D1"/>
    <w:rsid w:val="001A137C"/>
    <w:rsid w:val="001F147E"/>
    <w:rsid w:val="002E1842"/>
    <w:rsid w:val="002F2550"/>
    <w:rsid w:val="002F6910"/>
    <w:rsid w:val="003111D4"/>
    <w:rsid w:val="003223F7"/>
    <w:rsid w:val="00406776"/>
    <w:rsid w:val="004310A5"/>
    <w:rsid w:val="004657BE"/>
    <w:rsid w:val="004C6C53"/>
    <w:rsid w:val="005855DA"/>
    <w:rsid w:val="0060404E"/>
    <w:rsid w:val="006A60E1"/>
    <w:rsid w:val="007A157D"/>
    <w:rsid w:val="007F7E73"/>
    <w:rsid w:val="00893FF5"/>
    <w:rsid w:val="00917F9E"/>
    <w:rsid w:val="00AB564C"/>
    <w:rsid w:val="00B046F4"/>
    <w:rsid w:val="00B325D5"/>
    <w:rsid w:val="00BD36D0"/>
    <w:rsid w:val="00CF0E21"/>
    <w:rsid w:val="00D61988"/>
    <w:rsid w:val="00E4360B"/>
    <w:rsid w:val="00E679B0"/>
    <w:rsid w:val="00F673F9"/>
    <w:rsid w:val="00F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DE8C389161480DA7FDC722DB4E1590">
    <w:name w:val="63DE8C389161480DA7FDC722DB4E1590"/>
    <w:rsid w:val="007F7E73"/>
  </w:style>
  <w:style w:type="paragraph" w:customStyle="1" w:styleId="7052853AA66C48A79C10F421B9A77119">
    <w:name w:val="7052853AA66C48A79C10F421B9A77119"/>
    <w:rsid w:val="007F7E73"/>
  </w:style>
  <w:style w:type="paragraph" w:customStyle="1" w:styleId="F5371134FC58428797A72CEEFEE3B409">
    <w:name w:val="F5371134FC58428797A72CEEFEE3B409"/>
    <w:rsid w:val="007F7E73"/>
  </w:style>
  <w:style w:type="paragraph" w:customStyle="1" w:styleId="D43E6EB1066340B2A6539BE6AFA39D8C">
    <w:name w:val="D43E6EB1066340B2A6539BE6AFA39D8C"/>
    <w:rsid w:val="007F7E73"/>
  </w:style>
  <w:style w:type="character" w:styleId="PlaceholderText">
    <w:name w:val="Placeholder Text"/>
    <w:basedOn w:val="DefaultParagraphFont"/>
    <w:uiPriority w:val="99"/>
    <w:semiHidden/>
    <w:rsid w:val="004657B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624-442E-4C5F-A434-A55AED54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RESULTS</dc:creator>
  <cp:lastModifiedBy>User</cp:lastModifiedBy>
  <cp:revision>104</cp:revision>
  <dcterms:created xsi:type="dcterms:W3CDTF">2013-03-04T16:27:00Z</dcterms:created>
  <dcterms:modified xsi:type="dcterms:W3CDTF">2013-06-12T15:52:00Z</dcterms:modified>
</cp:coreProperties>
</file>