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2D" w:rsidRDefault="00E6162D" w:rsidP="00E6162D">
      <w:pPr>
        <w:spacing w:line="240" w:lineRule="auto"/>
        <w:jc w:val="center"/>
        <w:rPr>
          <w:rFonts w:ascii="Times New Roman" w:hAnsi="Times New Roman" w:cs="Times New Roman"/>
          <w:b/>
        </w:rPr>
      </w:pPr>
      <w:r>
        <w:rPr>
          <w:rFonts w:ascii="Times New Roman" w:hAnsi="Times New Roman" w:cs="Times New Roman"/>
          <w:b/>
        </w:rPr>
        <w:t>4. RESULTS</w:t>
      </w:r>
    </w:p>
    <w:p w:rsidR="00E6162D" w:rsidRDefault="00511D61" w:rsidP="00E6162D">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E6162D">
        <w:rPr>
          <w:rFonts w:ascii="Times New Roman" w:hAnsi="Times New Roman" w:cs="Times New Roman"/>
          <w:b/>
          <w:sz w:val="24"/>
          <w:szCs w:val="24"/>
        </w:rPr>
        <w:t xml:space="preserve">.1. </w:t>
      </w:r>
      <w:r>
        <w:rPr>
          <w:rFonts w:ascii="Times New Roman" w:hAnsi="Times New Roman" w:cs="Times New Roman"/>
          <w:b/>
          <w:sz w:val="24"/>
          <w:szCs w:val="24"/>
        </w:rPr>
        <w:t>Immunological test results</w:t>
      </w:r>
    </w:p>
    <w:p w:rsidR="00C0162F" w:rsidRDefault="00E6162D" w:rsidP="00E616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milk and sera test results are presented in the </w:t>
      </w:r>
      <w:r w:rsidRPr="00234EDA">
        <w:rPr>
          <w:rFonts w:ascii="Times New Roman" w:hAnsi="Times New Roman" w:cs="Times New Roman"/>
          <w:sz w:val="24"/>
          <w:szCs w:val="24"/>
        </w:rPr>
        <w:t>Table 0</w:t>
      </w:r>
      <w:r w:rsidR="00234EDA" w:rsidRPr="00234EDA">
        <w:rPr>
          <w:rFonts w:ascii="Times New Roman" w:hAnsi="Times New Roman" w:cs="Times New Roman"/>
          <w:sz w:val="24"/>
          <w:szCs w:val="24"/>
        </w:rPr>
        <w:t>2</w:t>
      </w:r>
      <w:r w:rsidRPr="00234EDA">
        <w:rPr>
          <w:rFonts w:ascii="Times New Roman" w:hAnsi="Times New Roman" w:cs="Times New Roman"/>
          <w:sz w:val="24"/>
          <w:szCs w:val="24"/>
        </w:rPr>
        <w:t>.</w:t>
      </w:r>
      <w:r>
        <w:rPr>
          <w:rFonts w:ascii="Times New Roman" w:hAnsi="Times New Roman" w:cs="Times New Roman"/>
          <w:sz w:val="24"/>
          <w:szCs w:val="24"/>
        </w:rPr>
        <w:t xml:space="preserve"> Of the </w:t>
      </w:r>
      <w:r w:rsidR="00666F6F">
        <w:rPr>
          <w:rFonts w:ascii="Times New Roman" w:hAnsi="Times New Roman" w:cs="Times New Roman"/>
          <w:sz w:val="24"/>
          <w:szCs w:val="24"/>
        </w:rPr>
        <w:t>2</w:t>
      </w:r>
      <w:r>
        <w:rPr>
          <w:rFonts w:ascii="Times New Roman" w:hAnsi="Times New Roman" w:cs="Times New Roman"/>
          <w:sz w:val="24"/>
          <w:szCs w:val="24"/>
        </w:rPr>
        <w:t xml:space="preserve">50 sampled animals, serological results were available from </w:t>
      </w:r>
      <w:r w:rsidR="00DF3B9E">
        <w:rPr>
          <w:rFonts w:ascii="Times New Roman" w:hAnsi="Times New Roman" w:cs="Times New Roman"/>
          <w:sz w:val="24"/>
          <w:szCs w:val="24"/>
        </w:rPr>
        <w:t>50</w:t>
      </w:r>
      <w:r>
        <w:rPr>
          <w:rFonts w:ascii="Times New Roman" w:hAnsi="Times New Roman" w:cs="Times New Roman"/>
          <w:sz w:val="24"/>
          <w:szCs w:val="24"/>
        </w:rPr>
        <w:t xml:space="preserve"> animals as the animals shown negative reaction with Milk Ring Test were considered as negative to brucellosis. Again, an animal was considered as positive if it became positive in all three tests (MRT, iELISA and RBPT). Here, among the </w:t>
      </w:r>
      <w:r w:rsidR="00DF3B9E">
        <w:rPr>
          <w:rFonts w:ascii="Times New Roman" w:hAnsi="Times New Roman" w:cs="Times New Roman"/>
          <w:sz w:val="24"/>
          <w:szCs w:val="24"/>
        </w:rPr>
        <w:t>2</w:t>
      </w:r>
      <w:r>
        <w:rPr>
          <w:rFonts w:ascii="Times New Roman" w:hAnsi="Times New Roman" w:cs="Times New Roman"/>
          <w:sz w:val="24"/>
          <w:szCs w:val="24"/>
        </w:rPr>
        <w:t>50 samples cows 2</w:t>
      </w:r>
      <w:r w:rsidR="00DF3B9E">
        <w:rPr>
          <w:rFonts w:ascii="Times New Roman" w:hAnsi="Times New Roman" w:cs="Times New Roman"/>
          <w:sz w:val="24"/>
          <w:szCs w:val="24"/>
        </w:rPr>
        <w:t>1</w:t>
      </w:r>
      <w:r>
        <w:rPr>
          <w:rFonts w:ascii="Times New Roman" w:hAnsi="Times New Roman" w:cs="Times New Roman"/>
          <w:sz w:val="24"/>
          <w:szCs w:val="24"/>
        </w:rPr>
        <w:t xml:space="preserve"> were shown positive</w:t>
      </w:r>
      <w:r w:rsidR="00A24F56">
        <w:rPr>
          <w:rFonts w:ascii="Times New Roman" w:hAnsi="Times New Roman" w:cs="Times New Roman"/>
          <w:sz w:val="24"/>
          <w:szCs w:val="24"/>
        </w:rPr>
        <w:t xml:space="preserve"> reaction with all three tests.</w:t>
      </w:r>
    </w:p>
    <w:p w:rsidR="00E6162D" w:rsidRDefault="00883D46" w:rsidP="00883D46">
      <w:pPr>
        <w:spacing w:after="120" w:line="360" w:lineRule="auto"/>
        <w:rPr>
          <w:rFonts w:ascii="Times New Roman" w:hAnsi="Times New Roman" w:cs="Times New Roman"/>
          <w:sz w:val="24"/>
          <w:szCs w:val="24"/>
        </w:rPr>
      </w:pPr>
      <w:r>
        <w:rPr>
          <w:rFonts w:ascii="Times New Roman" w:hAnsi="Times New Roman" w:cs="Times New Roman"/>
          <w:b/>
          <w:color w:val="FF0000"/>
          <w:sz w:val="24"/>
          <w:szCs w:val="24"/>
        </w:rPr>
        <w:t xml:space="preserve">                </w:t>
      </w:r>
      <w:r w:rsidR="00E6162D" w:rsidRPr="00234EDA">
        <w:rPr>
          <w:rFonts w:ascii="Times New Roman" w:hAnsi="Times New Roman" w:cs="Times New Roman"/>
          <w:sz w:val="24"/>
          <w:szCs w:val="24"/>
        </w:rPr>
        <w:t>Table 0</w:t>
      </w:r>
      <w:r w:rsidR="00234EDA" w:rsidRPr="00234EDA">
        <w:rPr>
          <w:rFonts w:ascii="Times New Roman" w:hAnsi="Times New Roman" w:cs="Times New Roman"/>
          <w:sz w:val="24"/>
          <w:szCs w:val="24"/>
        </w:rPr>
        <w:t>2</w:t>
      </w:r>
      <w:r w:rsidR="00E6162D" w:rsidRPr="00234EDA">
        <w:rPr>
          <w:rFonts w:ascii="Times New Roman" w:hAnsi="Times New Roman" w:cs="Times New Roman"/>
          <w:sz w:val="24"/>
          <w:szCs w:val="24"/>
        </w:rPr>
        <w:t>.</w:t>
      </w:r>
      <w:r w:rsidR="00E6162D">
        <w:rPr>
          <w:rFonts w:ascii="Times New Roman" w:hAnsi="Times New Roman" w:cs="Times New Roman"/>
          <w:sz w:val="24"/>
          <w:szCs w:val="24"/>
        </w:rPr>
        <w:t xml:space="preserve"> </w:t>
      </w:r>
      <w:r w:rsidR="00C0162F">
        <w:rPr>
          <w:rFonts w:ascii="Times New Roman" w:hAnsi="Times New Roman" w:cs="Times New Roman"/>
          <w:sz w:val="24"/>
          <w:szCs w:val="24"/>
        </w:rPr>
        <w:t>The cows’ response to</w:t>
      </w:r>
      <w:r w:rsidR="00E6162D">
        <w:rPr>
          <w:rFonts w:ascii="Times New Roman" w:hAnsi="Times New Roman" w:cs="Times New Roman"/>
          <w:sz w:val="24"/>
          <w:szCs w:val="24"/>
        </w:rPr>
        <w:t xml:space="preserve"> different immunological tests</w:t>
      </w:r>
    </w:p>
    <w:tbl>
      <w:tblPr>
        <w:tblStyle w:val="TableGrid"/>
        <w:tblW w:w="6750" w:type="dxa"/>
        <w:jc w:val="center"/>
        <w:tblInd w:w="288" w:type="dxa"/>
        <w:tblLayout w:type="fixed"/>
        <w:tblLook w:val="04A0"/>
      </w:tblPr>
      <w:tblGrid>
        <w:gridCol w:w="1800"/>
        <w:gridCol w:w="1530"/>
        <w:gridCol w:w="1710"/>
        <w:gridCol w:w="1710"/>
      </w:tblGrid>
      <w:tr w:rsidR="00651FF1" w:rsidTr="00883D46">
        <w:trPr>
          <w:trHeight w:val="299"/>
          <w:jc w:val="center"/>
        </w:trPr>
        <w:tc>
          <w:tcPr>
            <w:tcW w:w="1800" w:type="dxa"/>
            <w:vAlign w:val="center"/>
          </w:tcPr>
          <w:p w:rsidR="00651FF1" w:rsidRPr="007A6B63" w:rsidRDefault="00651FF1" w:rsidP="00FF2EE2">
            <w:pPr>
              <w:jc w:val="center"/>
              <w:rPr>
                <w:b/>
              </w:rPr>
            </w:pPr>
            <w:r w:rsidRPr="007A6B63">
              <w:rPr>
                <w:rFonts w:ascii="Times New Roman" w:hAnsi="Times New Roman" w:cs="Times New Roman"/>
                <w:b/>
                <w:szCs w:val="24"/>
              </w:rPr>
              <w:t>Tests</w:t>
            </w:r>
          </w:p>
        </w:tc>
        <w:tc>
          <w:tcPr>
            <w:tcW w:w="1530" w:type="dxa"/>
            <w:vAlign w:val="center"/>
          </w:tcPr>
          <w:p w:rsidR="00651FF1" w:rsidRPr="007A6B63" w:rsidRDefault="00651FF1" w:rsidP="00FF2EE2">
            <w:pPr>
              <w:jc w:val="center"/>
              <w:rPr>
                <w:rFonts w:ascii="Times New Roman" w:hAnsi="Times New Roman" w:cs="Times New Roman"/>
                <w:b/>
                <w:szCs w:val="24"/>
              </w:rPr>
            </w:pPr>
            <w:r w:rsidRPr="007A6B63">
              <w:rPr>
                <w:rFonts w:ascii="Times New Roman" w:hAnsi="Times New Roman" w:cs="Times New Roman"/>
                <w:b/>
                <w:szCs w:val="24"/>
              </w:rPr>
              <w:t>Total Sample</w:t>
            </w:r>
          </w:p>
        </w:tc>
        <w:tc>
          <w:tcPr>
            <w:tcW w:w="1710" w:type="dxa"/>
            <w:vAlign w:val="center"/>
          </w:tcPr>
          <w:p w:rsidR="00651FF1" w:rsidRPr="007A6B63" w:rsidRDefault="00651FF1" w:rsidP="00FF2EE2">
            <w:pPr>
              <w:jc w:val="center"/>
              <w:rPr>
                <w:rFonts w:ascii="Times New Roman" w:hAnsi="Times New Roman" w:cs="Times New Roman"/>
                <w:b/>
                <w:szCs w:val="24"/>
              </w:rPr>
            </w:pPr>
            <w:r w:rsidRPr="007A6B63">
              <w:rPr>
                <w:rFonts w:ascii="Times New Roman" w:hAnsi="Times New Roman" w:cs="Times New Roman"/>
                <w:b/>
                <w:szCs w:val="24"/>
              </w:rPr>
              <w:t>Test Positive</w:t>
            </w:r>
          </w:p>
        </w:tc>
        <w:tc>
          <w:tcPr>
            <w:tcW w:w="1710" w:type="dxa"/>
          </w:tcPr>
          <w:p w:rsidR="00651FF1" w:rsidRPr="007A6B63" w:rsidRDefault="00651FF1" w:rsidP="00FF2EE2">
            <w:pPr>
              <w:jc w:val="center"/>
              <w:rPr>
                <w:rFonts w:ascii="Times New Roman" w:hAnsi="Times New Roman" w:cs="Times New Roman"/>
                <w:b/>
                <w:szCs w:val="24"/>
              </w:rPr>
            </w:pPr>
            <w:r>
              <w:rPr>
                <w:rFonts w:ascii="Times New Roman" w:hAnsi="Times New Roman" w:cs="Times New Roman"/>
                <w:b/>
                <w:szCs w:val="24"/>
              </w:rPr>
              <w:t>Test Negative</w:t>
            </w:r>
          </w:p>
        </w:tc>
      </w:tr>
      <w:tr w:rsidR="00651FF1" w:rsidTr="00883D46">
        <w:trPr>
          <w:trHeight w:val="299"/>
          <w:jc w:val="center"/>
        </w:trPr>
        <w:tc>
          <w:tcPr>
            <w:tcW w:w="1800" w:type="dxa"/>
            <w:vAlign w:val="center"/>
          </w:tcPr>
          <w:p w:rsidR="00651FF1" w:rsidRDefault="00651FF1" w:rsidP="00FF2EE2">
            <w:r>
              <w:rPr>
                <w:rFonts w:ascii="Times New Roman" w:hAnsi="Times New Roman" w:cs="Times New Roman"/>
                <w:sz w:val="24"/>
                <w:szCs w:val="24"/>
              </w:rPr>
              <w:t>MRT</w:t>
            </w:r>
          </w:p>
        </w:tc>
        <w:tc>
          <w:tcPr>
            <w:tcW w:w="1530" w:type="dxa"/>
            <w:vAlign w:val="center"/>
          </w:tcPr>
          <w:p w:rsidR="00651FF1" w:rsidRPr="00115F05" w:rsidRDefault="00651FF1" w:rsidP="00C0162F">
            <w:pPr>
              <w:jc w:val="center"/>
              <w:rPr>
                <w:rFonts w:ascii="Times New Roman" w:hAnsi="Times New Roman" w:cs="Times New Roman"/>
                <w:sz w:val="24"/>
                <w:szCs w:val="24"/>
              </w:rPr>
            </w:pPr>
            <w:r>
              <w:rPr>
                <w:rFonts w:ascii="Times New Roman" w:hAnsi="Times New Roman" w:cs="Times New Roman"/>
                <w:sz w:val="24"/>
                <w:szCs w:val="24"/>
              </w:rPr>
              <w:t>250</w:t>
            </w:r>
          </w:p>
        </w:tc>
        <w:tc>
          <w:tcPr>
            <w:tcW w:w="1710" w:type="dxa"/>
            <w:vAlign w:val="center"/>
          </w:tcPr>
          <w:p w:rsidR="00651FF1" w:rsidRPr="00115F05" w:rsidRDefault="00651FF1" w:rsidP="00FF2EE2">
            <w:pPr>
              <w:jc w:val="center"/>
              <w:rPr>
                <w:rFonts w:ascii="Times New Roman" w:hAnsi="Times New Roman" w:cs="Times New Roman"/>
                <w:sz w:val="24"/>
                <w:szCs w:val="24"/>
              </w:rPr>
            </w:pPr>
            <w:r>
              <w:rPr>
                <w:rFonts w:ascii="Times New Roman" w:hAnsi="Times New Roman" w:cs="Times New Roman"/>
                <w:sz w:val="24"/>
                <w:szCs w:val="24"/>
              </w:rPr>
              <w:t>50</w:t>
            </w:r>
          </w:p>
        </w:tc>
        <w:tc>
          <w:tcPr>
            <w:tcW w:w="1710" w:type="dxa"/>
          </w:tcPr>
          <w:p w:rsidR="00651FF1" w:rsidRDefault="00651FF1" w:rsidP="00FF2EE2">
            <w:pPr>
              <w:jc w:val="center"/>
              <w:rPr>
                <w:rFonts w:ascii="Times New Roman" w:hAnsi="Times New Roman" w:cs="Times New Roman"/>
                <w:sz w:val="24"/>
                <w:szCs w:val="24"/>
              </w:rPr>
            </w:pPr>
            <w:r>
              <w:rPr>
                <w:rFonts w:ascii="Times New Roman" w:hAnsi="Times New Roman" w:cs="Times New Roman"/>
                <w:sz w:val="24"/>
                <w:szCs w:val="24"/>
              </w:rPr>
              <w:t>200</w:t>
            </w:r>
          </w:p>
        </w:tc>
      </w:tr>
      <w:tr w:rsidR="00651FF1" w:rsidTr="00883D46">
        <w:trPr>
          <w:trHeight w:val="299"/>
          <w:jc w:val="center"/>
        </w:trPr>
        <w:tc>
          <w:tcPr>
            <w:tcW w:w="1800" w:type="dxa"/>
            <w:vAlign w:val="center"/>
          </w:tcPr>
          <w:p w:rsidR="00651FF1" w:rsidRDefault="00651FF1" w:rsidP="00FF2EE2">
            <w:r>
              <w:rPr>
                <w:rFonts w:ascii="Times New Roman" w:hAnsi="Times New Roman" w:cs="Times New Roman"/>
                <w:sz w:val="24"/>
                <w:szCs w:val="24"/>
              </w:rPr>
              <w:t>iELISA</w:t>
            </w:r>
          </w:p>
        </w:tc>
        <w:tc>
          <w:tcPr>
            <w:tcW w:w="1530" w:type="dxa"/>
            <w:vAlign w:val="center"/>
          </w:tcPr>
          <w:p w:rsidR="00651FF1" w:rsidRPr="00115F05" w:rsidRDefault="00651FF1" w:rsidP="00FF2EE2">
            <w:pPr>
              <w:jc w:val="center"/>
              <w:rPr>
                <w:rFonts w:ascii="Times New Roman" w:hAnsi="Times New Roman" w:cs="Times New Roman"/>
                <w:sz w:val="24"/>
                <w:szCs w:val="24"/>
              </w:rPr>
            </w:pPr>
            <w:r>
              <w:rPr>
                <w:rFonts w:ascii="Times New Roman" w:hAnsi="Times New Roman" w:cs="Times New Roman"/>
                <w:sz w:val="24"/>
                <w:szCs w:val="24"/>
              </w:rPr>
              <w:t>50</w:t>
            </w:r>
          </w:p>
        </w:tc>
        <w:tc>
          <w:tcPr>
            <w:tcW w:w="1710" w:type="dxa"/>
            <w:vAlign w:val="center"/>
          </w:tcPr>
          <w:p w:rsidR="00651FF1" w:rsidRPr="00115F05" w:rsidRDefault="00651FF1" w:rsidP="00FF2EE2">
            <w:pPr>
              <w:jc w:val="center"/>
              <w:rPr>
                <w:rFonts w:ascii="Times New Roman" w:hAnsi="Times New Roman" w:cs="Times New Roman"/>
                <w:sz w:val="24"/>
                <w:szCs w:val="24"/>
              </w:rPr>
            </w:pPr>
            <w:r>
              <w:rPr>
                <w:rFonts w:ascii="Times New Roman" w:hAnsi="Times New Roman" w:cs="Times New Roman"/>
                <w:sz w:val="24"/>
                <w:szCs w:val="24"/>
              </w:rPr>
              <w:t>40</w:t>
            </w:r>
          </w:p>
        </w:tc>
        <w:tc>
          <w:tcPr>
            <w:tcW w:w="1710" w:type="dxa"/>
          </w:tcPr>
          <w:p w:rsidR="00651FF1" w:rsidRDefault="00651FF1" w:rsidP="00FF2EE2">
            <w:pPr>
              <w:jc w:val="center"/>
              <w:rPr>
                <w:rFonts w:ascii="Times New Roman" w:hAnsi="Times New Roman" w:cs="Times New Roman"/>
                <w:sz w:val="24"/>
                <w:szCs w:val="24"/>
              </w:rPr>
            </w:pPr>
            <w:r>
              <w:rPr>
                <w:rFonts w:ascii="Times New Roman" w:hAnsi="Times New Roman" w:cs="Times New Roman"/>
                <w:sz w:val="24"/>
                <w:szCs w:val="24"/>
              </w:rPr>
              <w:t>10</w:t>
            </w:r>
          </w:p>
        </w:tc>
      </w:tr>
      <w:tr w:rsidR="00651FF1" w:rsidTr="00883D46">
        <w:trPr>
          <w:trHeight w:val="299"/>
          <w:jc w:val="center"/>
        </w:trPr>
        <w:tc>
          <w:tcPr>
            <w:tcW w:w="1800" w:type="dxa"/>
            <w:vAlign w:val="center"/>
          </w:tcPr>
          <w:p w:rsidR="00651FF1" w:rsidRPr="001A4F85" w:rsidRDefault="00651FF1" w:rsidP="00FF2EE2">
            <w:r w:rsidRPr="001A4F85">
              <w:rPr>
                <w:rFonts w:ascii="Times New Roman" w:hAnsi="Times New Roman" w:cs="Times New Roman"/>
                <w:szCs w:val="24"/>
              </w:rPr>
              <w:t>RBPT</w:t>
            </w:r>
          </w:p>
        </w:tc>
        <w:tc>
          <w:tcPr>
            <w:tcW w:w="1530" w:type="dxa"/>
            <w:vAlign w:val="center"/>
          </w:tcPr>
          <w:p w:rsidR="00651FF1" w:rsidRPr="001A4F85" w:rsidRDefault="00651FF1" w:rsidP="00FF2EE2">
            <w:pPr>
              <w:jc w:val="center"/>
              <w:rPr>
                <w:rFonts w:ascii="Times New Roman" w:hAnsi="Times New Roman" w:cs="Times New Roman"/>
                <w:szCs w:val="24"/>
              </w:rPr>
            </w:pPr>
            <w:r>
              <w:rPr>
                <w:rFonts w:ascii="Times New Roman" w:hAnsi="Times New Roman" w:cs="Times New Roman"/>
                <w:szCs w:val="24"/>
              </w:rPr>
              <w:t>50</w:t>
            </w:r>
          </w:p>
        </w:tc>
        <w:tc>
          <w:tcPr>
            <w:tcW w:w="1710" w:type="dxa"/>
            <w:vAlign w:val="center"/>
          </w:tcPr>
          <w:p w:rsidR="00651FF1" w:rsidRPr="001A4F85" w:rsidRDefault="00651FF1" w:rsidP="00651FF1">
            <w:pPr>
              <w:jc w:val="center"/>
              <w:rPr>
                <w:rFonts w:ascii="Times New Roman" w:hAnsi="Times New Roman" w:cs="Times New Roman"/>
                <w:szCs w:val="24"/>
              </w:rPr>
            </w:pPr>
            <w:r>
              <w:rPr>
                <w:rFonts w:ascii="Times New Roman" w:hAnsi="Times New Roman" w:cs="Times New Roman"/>
                <w:szCs w:val="24"/>
              </w:rPr>
              <w:t>21</w:t>
            </w:r>
          </w:p>
        </w:tc>
        <w:tc>
          <w:tcPr>
            <w:tcW w:w="1710" w:type="dxa"/>
          </w:tcPr>
          <w:p w:rsidR="00651FF1" w:rsidRDefault="00651FF1" w:rsidP="00651FF1">
            <w:pPr>
              <w:jc w:val="center"/>
              <w:rPr>
                <w:rFonts w:ascii="Times New Roman" w:hAnsi="Times New Roman" w:cs="Times New Roman"/>
                <w:szCs w:val="24"/>
              </w:rPr>
            </w:pPr>
            <w:r>
              <w:rPr>
                <w:rFonts w:ascii="Times New Roman" w:hAnsi="Times New Roman" w:cs="Times New Roman"/>
                <w:szCs w:val="24"/>
              </w:rPr>
              <w:t>29</w:t>
            </w:r>
          </w:p>
        </w:tc>
      </w:tr>
      <w:tr w:rsidR="00651FF1" w:rsidTr="00883D46">
        <w:trPr>
          <w:trHeight w:val="299"/>
          <w:jc w:val="center"/>
        </w:trPr>
        <w:tc>
          <w:tcPr>
            <w:tcW w:w="1800" w:type="dxa"/>
            <w:vAlign w:val="center"/>
          </w:tcPr>
          <w:p w:rsidR="00651FF1" w:rsidRPr="0071030F" w:rsidRDefault="00651FF1" w:rsidP="00FF2EE2">
            <w:pPr>
              <w:rPr>
                <w:rFonts w:ascii="Times New Roman" w:hAnsi="Times New Roman" w:cs="Times New Roman"/>
                <w:b/>
                <w:szCs w:val="24"/>
              </w:rPr>
            </w:pPr>
            <w:r w:rsidRPr="0071030F">
              <w:rPr>
                <w:rFonts w:ascii="Times New Roman" w:hAnsi="Times New Roman" w:cs="Times New Roman"/>
                <w:b/>
                <w:sz w:val="20"/>
                <w:szCs w:val="24"/>
              </w:rPr>
              <w:t>MRT + iELISA + RBPT</w:t>
            </w:r>
          </w:p>
        </w:tc>
        <w:tc>
          <w:tcPr>
            <w:tcW w:w="1530" w:type="dxa"/>
            <w:vAlign w:val="center"/>
          </w:tcPr>
          <w:p w:rsidR="00651FF1" w:rsidRPr="0071030F" w:rsidRDefault="00651FF1" w:rsidP="00651FF1">
            <w:pPr>
              <w:jc w:val="center"/>
              <w:rPr>
                <w:rFonts w:ascii="Times New Roman" w:hAnsi="Times New Roman" w:cs="Times New Roman"/>
                <w:b/>
                <w:szCs w:val="24"/>
              </w:rPr>
            </w:pPr>
            <w:r>
              <w:rPr>
                <w:rFonts w:ascii="Times New Roman" w:hAnsi="Times New Roman" w:cs="Times New Roman"/>
                <w:b/>
                <w:szCs w:val="24"/>
              </w:rPr>
              <w:t>2</w:t>
            </w:r>
            <w:r w:rsidRPr="0071030F">
              <w:rPr>
                <w:rFonts w:ascii="Times New Roman" w:hAnsi="Times New Roman" w:cs="Times New Roman"/>
                <w:b/>
                <w:szCs w:val="24"/>
              </w:rPr>
              <w:t>50</w:t>
            </w:r>
          </w:p>
        </w:tc>
        <w:tc>
          <w:tcPr>
            <w:tcW w:w="1710" w:type="dxa"/>
            <w:vAlign w:val="center"/>
          </w:tcPr>
          <w:p w:rsidR="00651FF1" w:rsidRPr="0071030F" w:rsidRDefault="00651FF1" w:rsidP="00FF2EE2">
            <w:pPr>
              <w:jc w:val="center"/>
              <w:rPr>
                <w:rFonts w:ascii="Times New Roman" w:hAnsi="Times New Roman" w:cs="Times New Roman"/>
                <w:b/>
                <w:szCs w:val="24"/>
              </w:rPr>
            </w:pPr>
            <w:r w:rsidRPr="0071030F">
              <w:rPr>
                <w:rFonts w:ascii="Times New Roman" w:hAnsi="Times New Roman" w:cs="Times New Roman"/>
                <w:b/>
                <w:szCs w:val="24"/>
              </w:rPr>
              <w:t>2</w:t>
            </w:r>
            <w:r>
              <w:rPr>
                <w:rFonts w:ascii="Times New Roman" w:hAnsi="Times New Roman" w:cs="Times New Roman"/>
                <w:b/>
                <w:szCs w:val="24"/>
              </w:rPr>
              <w:t>1</w:t>
            </w:r>
          </w:p>
        </w:tc>
        <w:tc>
          <w:tcPr>
            <w:tcW w:w="1710" w:type="dxa"/>
          </w:tcPr>
          <w:p w:rsidR="00651FF1" w:rsidRPr="0071030F" w:rsidRDefault="00651FF1" w:rsidP="00FF2EE2">
            <w:pPr>
              <w:jc w:val="center"/>
              <w:rPr>
                <w:rFonts w:ascii="Times New Roman" w:hAnsi="Times New Roman" w:cs="Times New Roman"/>
                <w:b/>
                <w:szCs w:val="24"/>
              </w:rPr>
            </w:pPr>
            <w:r>
              <w:rPr>
                <w:rFonts w:ascii="Times New Roman" w:hAnsi="Times New Roman" w:cs="Times New Roman"/>
                <w:b/>
                <w:szCs w:val="24"/>
              </w:rPr>
              <w:t>29</w:t>
            </w:r>
          </w:p>
        </w:tc>
      </w:tr>
    </w:tbl>
    <w:p w:rsidR="00E6162D" w:rsidRDefault="00E6162D" w:rsidP="00E6162D">
      <w:pPr>
        <w:spacing w:after="0" w:line="240" w:lineRule="auto"/>
      </w:pPr>
    </w:p>
    <w:p w:rsidR="00BB2B98" w:rsidRDefault="007F52FF" w:rsidP="00BB2B98">
      <w:pPr>
        <w:jc w:val="center"/>
        <w:rPr>
          <w:rFonts w:ascii="Times New Roman" w:hAnsi="Times New Roman" w:cs="Times New Roman"/>
          <w:b/>
          <w:sz w:val="24"/>
          <w:szCs w:val="24"/>
        </w:rPr>
      </w:pPr>
      <w:r w:rsidRPr="007F52FF">
        <w:rPr>
          <w:rFonts w:ascii="Times New Roman" w:hAnsi="Times New Roman" w:cs="Times New Roman"/>
          <w:b/>
          <w:noProof/>
          <w:sz w:val="24"/>
          <w:szCs w:val="24"/>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B2B98" w:rsidRPr="00BB2B98" w:rsidRDefault="00BB2B98" w:rsidP="00BB2B98">
      <w:pPr>
        <w:jc w:val="center"/>
        <w:rPr>
          <w:rFonts w:ascii="Times New Roman" w:hAnsi="Times New Roman" w:cs="Times New Roman"/>
          <w:sz w:val="24"/>
          <w:szCs w:val="24"/>
        </w:rPr>
      </w:pPr>
      <w:r w:rsidRPr="00BB2B98">
        <w:rPr>
          <w:rFonts w:ascii="Times New Roman" w:hAnsi="Times New Roman" w:cs="Times New Roman"/>
          <w:sz w:val="24"/>
          <w:szCs w:val="24"/>
        </w:rPr>
        <w:t>Fig 06: Graphical representation of different immunological test results.</w:t>
      </w:r>
    </w:p>
    <w:p w:rsidR="00BB2B98" w:rsidRDefault="00BB2B98" w:rsidP="00E6162D">
      <w:pPr>
        <w:jc w:val="both"/>
        <w:rPr>
          <w:rFonts w:ascii="Times New Roman" w:hAnsi="Times New Roman" w:cs="Times New Roman"/>
          <w:b/>
          <w:sz w:val="24"/>
          <w:szCs w:val="24"/>
        </w:rPr>
      </w:pPr>
    </w:p>
    <w:p w:rsidR="00652348" w:rsidRDefault="00652348" w:rsidP="00E6162D">
      <w:pPr>
        <w:jc w:val="both"/>
        <w:rPr>
          <w:rFonts w:ascii="Times New Roman" w:hAnsi="Times New Roman" w:cs="Times New Roman"/>
          <w:b/>
          <w:sz w:val="24"/>
          <w:szCs w:val="24"/>
        </w:rPr>
      </w:pPr>
    </w:p>
    <w:p w:rsidR="00652348" w:rsidRDefault="00652348" w:rsidP="00E6162D">
      <w:pPr>
        <w:jc w:val="both"/>
        <w:rPr>
          <w:rFonts w:ascii="Times New Roman" w:hAnsi="Times New Roman" w:cs="Times New Roman"/>
          <w:b/>
          <w:sz w:val="24"/>
          <w:szCs w:val="24"/>
        </w:rPr>
      </w:pPr>
    </w:p>
    <w:p w:rsidR="00652348" w:rsidRDefault="00652348" w:rsidP="00E6162D">
      <w:pPr>
        <w:jc w:val="both"/>
        <w:rPr>
          <w:rFonts w:ascii="Times New Roman" w:hAnsi="Times New Roman" w:cs="Times New Roman"/>
          <w:b/>
          <w:sz w:val="24"/>
          <w:szCs w:val="24"/>
        </w:rPr>
      </w:pPr>
    </w:p>
    <w:p w:rsidR="00E6162D" w:rsidRDefault="00380A4C" w:rsidP="00E6162D">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E6162D">
        <w:rPr>
          <w:rFonts w:ascii="Times New Roman" w:hAnsi="Times New Roman" w:cs="Times New Roman"/>
          <w:b/>
          <w:sz w:val="24"/>
          <w:szCs w:val="24"/>
        </w:rPr>
        <w:t>.</w:t>
      </w:r>
      <w:r>
        <w:rPr>
          <w:rFonts w:ascii="Times New Roman" w:hAnsi="Times New Roman" w:cs="Times New Roman"/>
          <w:b/>
          <w:sz w:val="24"/>
          <w:szCs w:val="24"/>
        </w:rPr>
        <w:t>2</w:t>
      </w:r>
      <w:r w:rsidR="00E6162D">
        <w:rPr>
          <w:rFonts w:ascii="Times New Roman" w:hAnsi="Times New Roman" w:cs="Times New Roman"/>
          <w:b/>
          <w:sz w:val="24"/>
          <w:szCs w:val="24"/>
        </w:rPr>
        <w:t>.</w:t>
      </w:r>
      <w:r w:rsidR="00E6162D" w:rsidRPr="00B65B4A">
        <w:rPr>
          <w:rFonts w:ascii="Times New Roman" w:hAnsi="Times New Roman" w:cs="Times New Roman"/>
          <w:b/>
          <w:sz w:val="24"/>
          <w:szCs w:val="24"/>
        </w:rPr>
        <w:t xml:space="preserve"> </w:t>
      </w:r>
      <w:r>
        <w:rPr>
          <w:rFonts w:ascii="Times New Roman" w:hAnsi="Times New Roman" w:cs="Times New Roman"/>
          <w:b/>
          <w:sz w:val="24"/>
          <w:szCs w:val="24"/>
        </w:rPr>
        <w:t>Haematological test results</w:t>
      </w:r>
    </w:p>
    <w:p w:rsidR="00CD1CD2" w:rsidRDefault="00CD1CD2" w:rsidP="00346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Milk Ring test (MRT) positive </w:t>
      </w:r>
      <w:r w:rsidR="00C34AB6">
        <w:rPr>
          <w:rFonts w:ascii="Times New Roman" w:hAnsi="Times New Roman" w:cs="Times New Roman"/>
          <w:sz w:val="24"/>
          <w:szCs w:val="24"/>
        </w:rPr>
        <w:t xml:space="preserve">50 </w:t>
      </w:r>
      <w:r>
        <w:rPr>
          <w:rFonts w:ascii="Times New Roman" w:hAnsi="Times New Roman" w:cs="Times New Roman"/>
          <w:sz w:val="24"/>
          <w:szCs w:val="24"/>
        </w:rPr>
        <w:t>cows</w:t>
      </w:r>
      <w:r w:rsidR="00C34AB6">
        <w:rPr>
          <w:rFonts w:ascii="Times New Roman" w:hAnsi="Times New Roman" w:cs="Times New Roman"/>
          <w:sz w:val="24"/>
          <w:szCs w:val="24"/>
        </w:rPr>
        <w:t xml:space="preserve"> </w:t>
      </w:r>
      <w:r>
        <w:rPr>
          <w:rFonts w:ascii="Times New Roman" w:hAnsi="Times New Roman" w:cs="Times New Roman"/>
          <w:sz w:val="24"/>
          <w:szCs w:val="24"/>
        </w:rPr>
        <w:t xml:space="preserve">were subjected to blood collection. And hematological tests were done </w:t>
      </w:r>
      <w:r w:rsidR="002B6A4C">
        <w:rPr>
          <w:rFonts w:ascii="Times New Roman" w:hAnsi="Times New Roman" w:cs="Times New Roman"/>
          <w:sz w:val="24"/>
          <w:szCs w:val="24"/>
        </w:rPr>
        <w:t xml:space="preserve">in parallel with serological tests </w:t>
      </w:r>
      <w:r>
        <w:rPr>
          <w:rFonts w:ascii="Times New Roman" w:hAnsi="Times New Roman" w:cs="Times New Roman"/>
          <w:sz w:val="24"/>
          <w:szCs w:val="24"/>
        </w:rPr>
        <w:t>whether any significant diagnostic variations can be found</w:t>
      </w:r>
      <w:r w:rsidR="0084766A">
        <w:rPr>
          <w:rFonts w:ascii="Times New Roman" w:hAnsi="Times New Roman" w:cs="Times New Roman"/>
          <w:sz w:val="24"/>
          <w:szCs w:val="24"/>
        </w:rPr>
        <w:t xml:space="preserve"> between </w:t>
      </w:r>
      <w:r w:rsidR="0084766A" w:rsidRPr="0084766A">
        <w:rPr>
          <w:rFonts w:ascii="Times New Roman" w:hAnsi="Times New Roman" w:cs="Times New Roman"/>
          <w:i/>
          <w:sz w:val="24"/>
          <w:szCs w:val="24"/>
        </w:rPr>
        <w:t>Brucella</w:t>
      </w:r>
      <w:r w:rsidR="0084766A">
        <w:rPr>
          <w:rFonts w:ascii="Times New Roman" w:hAnsi="Times New Roman" w:cs="Times New Roman"/>
          <w:sz w:val="24"/>
          <w:szCs w:val="24"/>
        </w:rPr>
        <w:t xml:space="preserve"> positive and negative groups</w:t>
      </w:r>
      <w:r>
        <w:rPr>
          <w:rFonts w:ascii="Times New Roman" w:hAnsi="Times New Roman" w:cs="Times New Roman"/>
          <w:sz w:val="24"/>
          <w:szCs w:val="24"/>
        </w:rPr>
        <w:t>.</w:t>
      </w:r>
    </w:p>
    <w:p w:rsidR="00AC5041" w:rsidRDefault="00AC5041" w:rsidP="00346012">
      <w:pPr>
        <w:spacing w:after="0" w:line="360" w:lineRule="auto"/>
        <w:jc w:val="both"/>
        <w:rPr>
          <w:rFonts w:ascii="Times New Roman" w:hAnsi="Times New Roman" w:cs="Times New Roman"/>
          <w:sz w:val="24"/>
          <w:szCs w:val="24"/>
        </w:rPr>
      </w:pPr>
    </w:p>
    <w:p w:rsidR="000D5BD7" w:rsidRDefault="000D5BD7" w:rsidP="00346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hematological tests exhibit </w:t>
      </w:r>
      <w:r w:rsidR="00AC5041">
        <w:rPr>
          <w:rFonts w:ascii="Times New Roman" w:hAnsi="Times New Roman" w:cs="Times New Roman"/>
          <w:sz w:val="24"/>
          <w:szCs w:val="24"/>
        </w:rPr>
        <w:t xml:space="preserve">a little </w:t>
      </w:r>
      <w:r w:rsidR="00812CC9">
        <w:rPr>
          <w:rFonts w:ascii="Times New Roman" w:hAnsi="Times New Roman" w:cs="Times New Roman"/>
          <w:sz w:val="24"/>
          <w:szCs w:val="24"/>
        </w:rPr>
        <w:t xml:space="preserve">diminution in the </w:t>
      </w:r>
      <w:r w:rsidR="00753944">
        <w:rPr>
          <w:rFonts w:ascii="Times New Roman" w:hAnsi="Times New Roman" w:cs="Times New Roman"/>
          <w:sz w:val="24"/>
          <w:szCs w:val="24"/>
        </w:rPr>
        <w:t>TEC, percentages of neutrophils and basophils</w:t>
      </w:r>
      <w:r w:rsidR="00023118">
        <w:rPr>
          <w:rFonts w:ascii="Times New Roman" w:hAnsi="Times New Roman" w:cs="Times New Roman"/>
          <w:sz w:val="24"/>
          <w:szCs w:val="24"/>
        </w:rPr>
        <w:t xml:space="preserve"> in the </w:t>
      </w:r>
      <w:r w:rsidR="00023118" w:rsidRPr="00FC72B5">
        <w:rPr>
          <w:rFonts w:ascii="Times New Roman" w:hAnsi="Times New Roman" w:cs="Times New Roman"/>
          <w:i/>
          <w:sz w:val="24"/>
          <w:szCs w:val="24"/>
        </w:rPr>
        <w:t>Brucella</w:t>
      </w:r>
      <w:r w:rsidR="00023118">
        <w:rPr>
          <w:rFonts w:ascii="Times New Roman" w:hAnsi="Times New Roman" w:cs="Times New Roman"/>
          <w:sz w:val="24"/>
          <w:szCs w:val="24"/>
        </w:rPr>
        <w:t xml:space="preserve"> positive group of cow</w:t>
      </w:r>
      <w:r w:rsidR="00753944">
        <w:rPr>
          <w:rFonts w:ascii="Times New Roman" w:hAnsi="Times New Roman" w:cs="Times New Roman"/>
          <w:sz w:val="24"/>
          <w:szCs w:val="24"/>
        </w:rPr>
        <w:t xml:space="preserve">. On the contrary, </w:t>
      </w:r>
      <w:r w:rsidR="00AC5041">
        <w:rPr>
          <w:rFonts w:ascii="Times New Roman" w:hAnsi="Times New Roman" w:cs="Times New Roman"/>
          <w:sz w:val="24"/>
          <w:szCs w:val="24"/>
        </w:rPr>
        <w:t xml:space="preserve">moderate </w:t>
      </w:r>
      <w:r w:rsidR="00753944">
        <w:rPr>
          <w:rFonts w:ascii="Times New Roman" w:hAnsi="Times New Roman" w:cs="Times New Roman"/>
          <w:sz w:val="24"/>
          <w:szCs w:val="24"/>
        </w:rPr>
        <w:t xml:space="preserve">augmentation of TLC </w:t>
      </w:r>
      <w:r w:rsidR="00AC5041">
        <w:rPr>
          <w:rFonts w:ascii="Times New Roman" w:hAnsi="Times New Roman" w:cs="Times New Roman"/>
          <w:sz w:val="24"/>
          <w:szCs w:val="24"/>
        </w:rPr>
        <w:t xml:space="preserve">was found in positive group </w:t>
      </w:r>
      <w:r w:rsidR="00753944">
        <w:rPr>
          <w:rFonts w:ascii="Times New Roman" w:hAnsi="Times New Roman" w:cs="Times New Roman"/>
          <w:sz w:val="24"/>
          <w:szCs w:val="24"/>
        </w:rPr>
        <w:t xml:space="preserve">and </w:t>
      </w:r>
      <w:r w:rsidR="00AC5041">
        <w:rPr>
          <w:rFonts w:ascii="Times New Roman" w:hAnsi="Times New Roman" w:cs="Times New Roman"/>
          <w:sz w:val="24"/>
          <w:szCs w:val="24"/>
        </w:rPr>
        <w:t xml:space="preserve">a </w:t>
      </w:r>
      <w:r w:rsidR="00A17A00">
        <w:rPr>
          <w:rFonts w:ascii="Times New Roman" w:hAnsi="Times New Roman" w:cs="Times New Roman"/>
          <w:sz w:val="24"/>
          <w:szCs w:val="24"/>
        </w:rPr>
        <w:t xml:space="preserve">slight increase in </w:t>
      </w:r>
      <w:r w:rsidR="00753944">
        <w:rPr>
          <w:rFonts w:ascii="Times New Roman" w:hAnsi="Times New Roman" w:cs="Times New Roman"/>
          <w:sz w:val="24"/>
          <w:szCs w:val="24"/>
        </w:rPr>
        <w:t xml:space="preserve">percentages of monocytes and eosinophils was found </w:t>
      </w:r>
      <w:r w:rsidR="008863EE">
        <w:rPr>
          <w:rFonts w:ascii="Times New Roman" w:hAnsi="Times New Roman" w:cs="Times New Roman"/>
          <w:sz w:val="24"/>
          <w:szCs w:val="24"/>
        </w:rPr>
        <w:t xml:space="preserve">in the same group of cow </w:t>
      </w:r>
      <w:r w:rsidR="00753944">
        <w:rPr>
          <w:rFonts w:ascii="Times New Roman" w:hAnsi="Times New Roman" w:cs="Times New Roman"/>
          <w:sz w:val="24"/>
          <w:szCs w:val="24"/>
        </w:rPr>
        <w:t>though the results were not statistically significant.</w:t>
      </w:r>
      <w:r w:rsidR="008863EE">
        <w:rPr>
          <w:rFonts w:ascii="Times New Roman" w:hAnsi="Times New Roman" w:cs="Times New Roman"/>
          <w:sz w:val="24"/>
          <w:szCs w:val="24"/>
        </w:rPr>
        <w:t xml:space="preserve"> </w:t>
      </w:r>
      <w:r w:rsidR="00010F72">
        <w:rPr>
          <w:rFonts w:ascii="Times New Roman" w:hAnsi="Times New Roman" w:cs="Times New Roman"/>
          <w:sz w:val="24"/>
          <w:szCs w:val="24"/>
        </w:rPr>
        <w:t xml:space="preserve">The values of Hb, PCV, ESR and lymphocytes were unchanged. </w:t>
      </w:r>
      <w:r w:rsidR="008863EE">
        <w:rPr>
          <w:rFonts w:ascii="Times New Roman" w:hAnsi="Times New Roman" w:cs="Times New Roman"/>
          <w:sz w:val="24"/>
          <w:szCs w:val="24"/>
        </w:rPr>
        <w:t xml:space="preserve">Details of the comparative hematological tests result given the </w:t>
      </w:r>
      <w:r w:rsidR="008863EE" w:rsidRPr="00234EDA">
        <w:rPr>
          <w:rFonts w:ascii="Times New Roman" w:hAnsi="Times New Roman" w:cs="Times New Roman"/>
          <w:sz w:val="24"/>
          <w:szCs w:val="24"/>
        </w:rPr>
        <w:t>Table 0</w:t>
      </w:r>
      <w:r w:rsidR="00234EDA" w:rsidRPr="00234EDA">
        <w:rPr>
          <w:rFonts w:ascii="Times New Roman" w:hAnsi="Times New Roman" w:cs="Times New Roman"/>
          <w:sz w:val="24"/>
          <w:szCs w:val="24"/>
        </w:rPr>
        <w:t>3</w:t>
      </w:r>
      <w:r w:rsidR="008863EE">
        <w:rPr>
          <w:rFonts w:ascii="Times New Roman" w:hAnsi="Times New Roman" w:cs="Times New Roman"/>
          <w:sz w:val="24"/>
          <w:szCs w:val="24"/>
        </w:rPr>
        <w:t>.</w:t>
      </w:r>
    </w:p>
    <w:p w:rsidR="00652348" w:rsidRDefault="00652348" w:rsidP="008863EE">
      <w:pPr>
        <w:rPr>
          <w:rFonts w:ascii="Times New Roman" w:hAnsi="Times New Roman" w:cs="Times New Roman"/>
          <w:sz w:val="24"/>
          <w:szCs w:val="24"/>
        </w:rPr>
      </w:pPr>
    </w:p>
    <w:p w:rsidR="008863EE" w:rsidRDefault="00234EDA" w:rsidP="008863EE">
      <w:pPr>
        <w:rPr>
          <w:rFonts w:ascii="Times New Roman" w:hAnsi="Times New Roman" w:cs="Times New Roman"/>
          <w:sz w:val="24"/>
        </w:rPr>
      </w:pPr>
      <w:r w:rsidRPr="00234EDA">
        <w:rPr>
          <w:rFonts w:ascii="Times New Roman" w:hAnsi="Times New Roman" w:cs="Times New Roman"/>
          <w:sz w:val="24"/>
          <w:szCs w:val="24"/>
        </w:rPr>
        <w:t>Table 03</w:t>
      </w:r>
      <w:r w:rsidR="008863EE">
        <w:rPr>
          <w:rFonts w:ascii="Times New Roman" w:hAnsi="Times New Roman" w:cs="Times New Roman"/>
          <w:sz w:val="24"/>
        </w:rPr>
        <w:t>: Haematological parameters of Brucellosis positive and negative group of cattle</w:t>
      </w:r>
    </w:p>
    <w:tbl>
      <w:tblPr>
        <w:tblStyle w:val="TableGrid"/>
        <w:tblW w:w="9648" w:type="dxa"/>
        <w:tblLayout w:type="fixed"/>
        <w:tblLook w:val="04A0"/>
      </w:tblPr>
      <w:tblGrid>
        <w:gridCol w:w="1908"/>
        <w:gridCol w:w="1800"/>
        <w:gridCol w:w="1620"/>
        <w:gridCol w:w="1800"/>
        <w:gridCol w:w="1620"/>
        <w:gridCol w:w="900"/>
      </w:tblGrid>
      <w:tr w:rsidR="008863EE" w:rsidTr="00A47452">
        <w:tc>
          <w:tcPr>
            <w:tcW w:w="1908" w:type="dxa"/>
            <w:vMerge w:val="restart"/>
            <w:vAlign w:val="center"/>
          </w:tcPr>
          <w:p w:rsidR="008863EE" w:rsidRPr="007E671F" w:rsidRDefault="008863EE" w:rsidP="00A47452">
            <w:pPr>
              <w:jc w:val="center"/>
              <w:rPr>
                <w:rFonts w:ascii="Times New Roman" w:hAnsi="Times New Roman" w:cs="Times New Roman"/>
                <w:b/>
                <w:sz w:val="24"/>
              </w:rPr>
            </w:pPr>
            <w:r w:rsidRPr="007E671F">
              <w:rPr>
                <w:rFonts w:ascii="Times New Roman" w:hAnsi="Times New Roman" w:cs="Times New Roman"/>
                <w:b/>
                <w:sz w:val="24"/>
              </w:rPr>
              <w:t>Variables</w:t>
            </w:r>
          </w:p>
        </w:tc>
        <w:tc>
          <w:tcPr>
            <w:tcW w:w="3420" w:type="dxa"/>
            <w:gridSpan w:val="2"/>
            <w:vAlign w:val="center"/>
          </w:tcPr>
          <w:p w:rsidR="008863EE" w:rsidRPr="007E671F" w:rsidRDefault="008863EE" w:rsidP="00A47452">
            <w:pPr>
              <w:jc w:val="center"/>
              <w:rPr>
                <w:rFonts w:ascii="Times New Roman" w:hAnsi="Times New Roman" w:cs="Times New Roman"/>
                <w:b/>
                <w:sz w:val="24"/>
              </w:rPr>
            </w:pPr>
            <w:r w:rsidRPr="007E671F">
              <w:rPr>
                <w:rFonts w:ascii="Times New Roman" w:hAnsi="Times New Roman" w:cs="Times New Roman"/>
                <w:b/>
                <w:sz w:val="24"/>
              </w:rPr>
              <w:t>Positive (N=</w:t>
            </w:r>
            <w:r>
              <w:rPr>
                <w:rFonts w:ascii="Times New Roman" w:hAnsi="Times New Roman" w:cs="Times New Roman"/>
                <w:b/>
                <w:sz w:val="24"/>
              </w:rPr>
              <w:t>21</w:t>
            </w:r>
            <w:r w:rsidRPr="007E671F">
              <w:rPr>
                <w:rFonts w:ascii="Times New Roman" w:hAnsi="Times New Roman" w:cs="Times New Roman"/>
                <w:b/>
                <w:sz w:val="24"/>
              </w:rPr>
              <w:t>)</w:t>
            </w:r>
          </w:p>
        </w:tc>
        <w:tc>
          <w:tcPr>
            <w:tcW w:w="3420" w:type="dxa"/>
            <w:gridSpan w:val="2"/>
            <w:vAlign w:val="center"/>
          </w:tcPr>
          <w:p w:rsidR="008863EE" w:rsidRPr="007E671F" w:rsidRDefault="008863EE" w:rsidP="00A47452">
            <w:pPr>
              <w:jc w:val="center"/>
              <w:rPr>
                <w:rFonts w:ascii="Times New Roman" w:hAnsi="Times New Roman" w:cs="Times New Roman"/>
                <w:b/>
                <w:sz w:val="24"/>
              </w:rPr>
            </w:pPr>
            <w:r w:rsidRPr="007E671F">
              <w:rPr>
                <w:rFonts w:ascii="Times New Roman" w:hAnsi="Times New Roman" w:cs="Times New Roman"/>
                <w:b/>
                <w:sz w:val="24"/>
              </w:rPr>
              <w:t>Negative (N=</w:t>
            </w:r>
            <w:r>
              <w:rPr>
                <w:rFonts w:ascii="Times New Roman" w:hAnsi="Times New Roman" w:cs="Times New Roman"/>
                <w:b/>
                <w:sz w:val="24"/>
              </w:rPr>
              <w:t>29</w:t>
            </w:r>
            <w:r w:rsidRPr="007E671F">
              <w:rPr>
                <w:rFonts w:ascii="Times New Roman" w:hAnsi="Times New Roman" w:cs="Times New Roman"/>
                <w:b/>
                <w:sz w:val="24"/>
              </w:rPr>
              <w:t>)</w:t>
            </w:r>
          </w:p>
        </w:tc>
        <w:tc>
          <w:tcPr>
            <w:tcW w:w="900" w:type="dxa"/>
            <w:vMerge w:val="restart"/>
            <w:vAlign w:val="center"/>
          </w:tcPr>
          <w:p w:rsidR="008863EE" w:rsidRPr="007E671F" w:rsidRDefault="008863EE" w:rsidP="00A47452">
            <w:pPr>
              <w:jc w:val="center"/>
              <w:rPr>
                <w:rFonts w:ascii="Times New Roman" w:hAnsi="Times New Roman" w:cs="Times New Roman"/>
                <w:b/>
                <w:sz w:val="24"/>
              </w:rPr>
            </w:pPr>
            <w:r w:rsidRPr="007E671F">
              <w:rPr>
                <w:rFonts w:ascii="Times New Roman" w:hAnsi="Times New Roman" w:cs="Times New Roman"/>
                <w:b/>
                <w:sz w:val="24"/>
              </w:rPr>
              <w:t>P value</w:t>
            </w:r>
          </w:p>
        </w:tc>
      </w:tr>
      <w:tr w:rsidR="008863EE" w:rsidTr="00A47452">
        <w:tc>
          <w:tcPr>
            <w:tcW w:w="1908" w:type="dxa"/>
            <w:vMerge/>
          </w:tcPr>
          <w:p w:rsidR="008863EE" w:rsidRPr="00BA32BE" w:rsidRDefault="008863EE" w:rsidP="00A47452">
            <w:pPr>
              <w:rPr>
                <w:rFonts w:ascii="Times New Roman" w:hAnsi="Times New Roman" w:cs="Times New Roman"/>
                <w:sz w:val="24"/>
                <w:szCs w:val="24"/>
              </w:rPr>
            </w:pPr>
          </w:p>
        </w:tc>
        <w:tc>
          <w:tcPr>
            <w:tcW w:w="1800" w:type="dxa"/>
            <w:vAlign w:val="center"/>
          </w:tcPr>
          <w:p w:rsidR="008863EE" w:rsidRPr="000614C0" w:rsidRDefault="008863EE" w:rsidP="00A47452">
            <w:pPr>
              <w:jc w:val="center"/>
              <w:rPr>
                <w:rFonts w:ascii="Times New Roman" w:hAnsi="Times New Roman" w:cs="Times New Roman"/>
                <w:b/>
              </w:rPr>
            </w:pPr>
            <w:r w:rsidRPr="000614C0">
              <w:rPr>
                <w:rFonts w:ascii="Times New Roman" w:hAnsi="Times New Roman" w:cs="Times New Roman"/>
                <w:b/>
              </w:rPr>
              <w:t>Mean ± SD</w:t>
            </w:r>
          </w:p>
        </w:tc>
        <w:tc>
          <w:tcPr>
            <w:tcW w:w="1620" w:type="dxa"/>
            <w:vAlign w:val="center"/>
          </w:tcPr>
          <w:p w:rsidR="008863EE" w:rsidRPr="000614C0" w:rsidRDefault="008863EE" w:rsidP="00A47452">
            <w:pPr>
              <w:jc w:val="center"/>
              <w:rPr>
                <w:rFonts w:ascii="Times New Roman" w:hAnsi="Times New Roman" w:cs="Times New Roman"/>
                <w:b/>
              </w:rPr>
            </w:pPr>
            <w:r w:rsidRPr="000614C0">
              <w:rPr>
                <w:rFonts w:ascii="Times New Roman" w:hAnsi="Times New Roman" w:cs="Times New Roman"/>
                <w:b/>
              </w:rPr>
              <w:t>95% CI</w:t>
            </w:r>
          </w:p>
        </w:tc>
        <w:tc>
          <w:tcPr>
            <w:tcW w:w="1800" w:type="dxa"/>
            <w:vAlign w:val="center"/>
          </w:tcPr>
          <w:p w:rsidR="008863EE" w:rsidRPr="000614C0" w:rsidRDefault="008863EE" w:rsidP="00A47452">
            <w:pPr>
              <w:jc w:val="center"/>
              <w:rPr>
                <w:rFonts w:ascii="Times New Roman" w:hAnsi="Times New Roman" w:cs="Times New Roman"/>
                <w:b/>
              </w:rPr>
            </w:pPr>
            <w:r w:rsidRPr="000614C0">
              <w:rPr>
                <w:rFonts w:ascii="Times New Roman" w:hAnsi="Times New Roman" w:cs="Times New Roman"/>
                <w:b/>
              </w:rPr>
              <w:t>Mean ± SD</w:t>
            </w:r>
          </w:p>
        </w:tc>
        <w:tc>
          <w:tcPr>
            <w:tcW w:w="1620" w:type="dxa"/>
            <w:vAlign w:val="center"/>
          </w:tcPr>
          <w:p w:rsidR="008863EE" w:rsidRPr="000614C0" w:rsidRDefault="008863EE" w:rsidP="00A47452">
            <w:pPr>
              <w:jc w:val="center"/>
              <w:rPr>
                <w:rFonts w:ascii="Times New Roman" w:hAnsi="Times New Roman" w:cs="Times New Roman"/>
                <w:b/>
              </w:rPr>
            </w:pPr>
            <w:r w:rsidRPr="000614C0">
              <w:rPr>
                <w:rFonts w:ascii="Times New Roman" w:hAnsi="Times New Roman" w:cs="Times New Roman"/>
                <w:b/>
              </w:rPr>
              <w:t>95% CI</w:t>
            </w:r>
          </w:p>
        </w:tc>
        <w:tc>
          <w:tcPr>
            <w:tcW w:w="900" w:type="dxa"/>
            <w:vMerge/>
          </w:tcPr>
          <w:p w:rsidR="008863EE" w:rsidRDefault="008863EE" w:rsidP="00A47452">
            <w:pPr>
              <w:rPr>
                <w:rFonts w:ascii="Times New Roman" w:hAnsi="Times New Roman" w:cs="Times New Roman"/>
                <w:sz w:val="24"/>
              </w:rPr>
            </w:pP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Hb (g</w:t>
            </w:r>
            <w:r>
              <w:rPr>
                <w:rFonts w:ascii="Times New Roman" w:hAnsi="Times New Roman" w:cs="Times New Roman"/>
                <w:sz w:val="24"/>
                <w:szCs w:val="24"/>
              </w:rPr>
              <w:t>m</w:t>
            </w:r>
            <w:r w:rsidRPr="00BA32BE">
              <w:rPr>
                <w:rFonts w:ascii="Times New Roman" w:hAnsi="Times New Roman" w:cs="Times New Roman"/>
                <w:sz w:val="24"/>
                <w:szCs w:val="24"/>
              </w:rPr>
              <w:t>/dl)</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7.462 ± 0.532</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7.219-7.704</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7.238 ± 0.532</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7.036-7.441</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0.09</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PCV (%)</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29.714 ± 6.034</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26.967-32.461</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29.207 ± 6.304</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26.809-31.605</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0.75</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Pr>
                <w:rFonts w:ascii="Times New Roman" w:hAnsi="Times New Roman" w:cs="Times New Roman"/>
                <w:sz w:val="24"/>
                <w:szCs w:val="24"/>
              </w:rPr>
              <w:t>ESR (mm in first hou</w:t>
            </w:r>
            <w:r w:rsidRPr="00BA32BE">
              <w:rPr>
                <w:rFonts w:ascii="Times New Roman" w:hAnsi="Times New Roman" w:cs="Times New Roman"/>
                <w:sz w:val="24"/>
                <w:szCs w:val="24"/>
              </w:rPr>
              <w:t>r)</w:t>
            </w:r>
          </w:p>
        </w:tc>
        <w:tc>
          <w:tcPr>
            <w:tcW w:w="18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0.00</w:t>
            </w:r>
          </w:p>
        </w:tc>
        <w:tc>
          <w:tcPr>
            <w:tcW w:w="162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0.00</w:t>
            </w:r>
          </w:p>
        </w:tc>
        <w:tc>
          <w:tcPr>
            <w:tcW w:w="18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0.00</w:t>
            </w:r>
          </w:p>
        </w:tc>
        <w:tc>
          <w:tcPr>
            <w:tcW w:w="162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0.00</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Pr>
                <w:rFonts w:ascii="Times New Roman" w:hAnsi="Times New Roman" w:cs="Times New Roman"/>
                <w:sz w:val="24"/>
                <w:szCs w:val="24"/>
              </w:rPr>
              <w:t>TE</w:t>
            </w:r>
            <w:r w:rsidR="00424484">
              <w:rPr>
                <w:rFonts w:ascii="Times New Roman" w:hAnsi="Times New Roman" w:cs="Times New Roman"/>
                <w:sz w:val="24"/>
                <w:szCs w:val="24"/>
              </w:rPr>
              <w:t>C (x10</w:t>
            </w:r>
            <w:r w:rsidR="00424484">
              <w:rPr>
                <w:rFonts w:ascii="Times New Roman" w:hAnsi="Times New Roman" w:cs="Times New Roman"/>
                <w:sz w:val="24"/>
                <w:szCs w:val="24"/>
                <w:vertAlign w:val="superscript"/>
              </w:rPr>
              <w:t>6</w:t>
            </w:r>
            <w:r w:rsidRPr="00BA32BE">
              <w:rPr>
                <w:rFonts w:ascii="Times New Roman" w:hAnsi="Times New Roman" w:cs="Times New Roman"/>
                <w:sz w:val="24"/>
                <w:szCs w:val="24"/>
              </w:rPr>
              <w:t xml:space="preserve"> cells/μl)</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4.867 ± 1.571</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4.153-5.583</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5.081 ± 1.746</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4.416-5.745</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0.56</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Pr>
                <w:rFonts w:ascii="Times New Roman" w:hAnsi="Times New Roman" w:cs="Times New Roman"/>
                <w:sz w:val="24"/>
                <w:szCs w:val="24"/>
              </w:rPr>
              <w:t>TL</w:t>
            </w:r>
            <w:r w:rsidR="00424484">
              <w:rPr>
                <w:rFonts w:ascii="Times New Roman" w:hAnsi="Times New Roman" w:cs="Times New Roman"/>
                <w:sz w:val="24"/>
                <w:szCs w:val="24"/>
              </w:rPr>
              <w:t>C (x10</w:t>
            </w:r>
            <w:r w:rsidR="00424484">
              <w:rPr>
                <w:rFonts w:ascii="Times New Roman" w:hAnsi="Times New Roman" w:cs="Times New Roman"/>
                <w:sz w:val="24"/>
                <w:szCs w:val="24"/>
                <w:vertAlign w:val="superscript"/>
              </w:rPr>
              <w:t>3</w:t>
            </w:r>
            <w:r w:rsidRPr="00BA32BE">
              <w:rPr>
                <w:rFonts w:ascii="Times New Roman" w:hAnsi="Times New Roman" w:cs="Times New Roman"/>
                <w:sz w:val="24"/>
                <w:szCs w:val="24"/>
              </w:rPr>
              <w:t>)</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9141.429 ± 2584.839</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7964.824-10318.03</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8487.931 ± 3288.906</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7236.898-9738.964</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0.39</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Lymphocyte (%)</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64.333 ± 8.212</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60.595-68.071</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64.931 ± 8.594</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61.662-68.199</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0.82</w:t>
            </w:r>
          </w:p>
        </w:tc>
      </w:tr>
      <w:tr w:rsidR="008863EE" w:rsidTr="00A47452">
        <w:tc>
          <w:tcPr>
            <w:tcW w:w="1908" w:type="dxa"/>
          </w:tcPr>
          <w:p w:rsidR="008863EE" w:rsidRDefault="008863EE" w:rsidP="00A47452">
            <w:pPr>
              <w:rPr>
                <w:rFonts w:ascii="Times New Roman" w:hAnsi="Times New Roman" w:cs="Times New Roman"/>
                <w:sz w:val="24"/>
              </w:rPr>
            </w:pPr>
            <w:r w:rsidRPr="00BA32BE">
              <w:rPr>
                <w:rFonts w:ascii="Times New Roman" w:hAnsi="Times New Roman" w:cs="Times New Roman"/>
                <w:sz w:val="24"/>
                <w:szCs w:val="24"/>
              </w:rPr>
              <w:t>Monocyte (%)</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5.286 ± 3.243</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3.809-6.762</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4.276 ± 2.389</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3.367-5.185</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0.16</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Neutrophils (%)</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22.333 ± 7.438</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18.947-25.719</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23.586 ± 8.842</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20.223-26.949</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0.58</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Eosinophil (%)</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7.572 ± 5.644</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5.002-10.141</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5.966 ± 3.191</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4.752-7.179</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0.27</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Basophil (%)</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0.238 ± 0.436</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0.039-0.437</w:t>
            </w:r>
          </w:p>
        </w:tc>
        <w:tc>
          <w:tcPr>
            <w:tcW w:w="180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0.379 ± 0.494</w:t>
            </w:r>
          </w:p>
        </w:tc>
        <w:tc>
          <w:tcPr>
            <w:tcW w:w="1620" w:type="dxa"/>
            <w:vAlign w:val="center"/>
          </w:tcPr>
          <w:p w:rsidR="008863EE" w:rsidRDefault="008863EE" w:rsidP="00A47452">
            <w:pPr>
              <w:rPr>
                <w:rFonts w:ascii="Times New Roman" w:hAnsi="Times New Roman" w:cs="Times New Roman"/>
                <w:sz w:val="24"/>
              </w:rPr>
            </w:pPr>
            <w:r>
              <w:rPr>
                <w:rFonts w:ascii="Times New Roman" w:hAnsi="Times New Roman" w:cs="Times New Roman"/>
                <w:sz w:val="24"/>
              </w:rPr>
              <w:t>0.192-0.567</w:t>
            </w:r>
          </w:p>
        </w:tc>
        <w:tc>
          <w:tcPr>
            <w:tcW w:w="900" w:type="dxa"/>
            <w:vAlign w:val="center"/>
          </w:tcPr>
          <w:p w:rsidR="008863EE" w:rsidRDefault="008863EE" w:rsidP="00A47452">
            <w:pPr>
              <w:jc w:val="center"/>
              <w:rPr>
                <w:rFonts w:ascii="Times New Roman" w:hAnsi="Times New Roman" w:cs="Times New Roman"/>
                <w:sz w:val="24"/>
              </w:rPr>
            </w:pPr>
            <w:r>
              <w:rPr>
                <w:rFonts w:ascii="Times New Roman" w:hAnsi="Times New Roman" w:cs="Times New Roman"/>
                <w:sz w:val="24"/>
              </w:rPr>
              <w:t>0.35</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MCV (fl)</w:t>
            </w:r>
          </w:p>
        </w:tc>
        <w:tc>
          <w:tcPr>
            <w:tcW w:w="180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66.073 ± 21.094</w:t>
            </w:r>
          </w:p>
        </w:tc>
        <w:tc>
          <w:tcPr>
            <w:tcW w:w="162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56.470-75.675</w:t>
            </w:r>
          </w:p>
        </w:tc>
        <w:tc>
          <w:tcPr>
            <w:tcW w:w="180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61.184 ± 22.879</w:t>
            </w:r>
          </w:p>
        </w:tc>
        <w:tc>
          <w:tcPr>
            <w:tcW w:w="162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52.483-69.887</w:t>
            </w:r>
          </w:p>
        </w:tc>
        <w:tc>
          <w:tcPr>
            <w:tcW w:w="900" w:type="dxa"/>
          </w:tcPr>
          <w:p w:rsidR="008863EE" w:rsidRPr="00BB1E03" w:rsidRDefault="00BB1E03" w:rsidP="00BB1E03">
            <w:pPr>
              <w:jc w:val="center"/>
              <w:rPr>
                <w:rFonts w:ascii="Times New Roman" w:hAnsi="Times New Roman" w:cs="Times New Roman"/>
                <w:sz w:val="24"/>
                <w:szCs w:val="24"/>
              </w:rPr>
            </w:pPr>
            <w:r>
              <w:rPr>
                <w:rFonts w:ascii="Times New Roman" w:hAnsi="Times New Roman" w:cs="Times New Roman"/>
                <w:sz w:val="24"/>
                <w:szCs w:val="24"/>
              </w:rPr>
              <w:t>0.13</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MCH (pg)</w:t>
            </w:r>
          </w:p>
        </w:tc>
        <w:tc>
          <w:tcPr>
            <w:tcW w:w="180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 xml:space="preserve">16.775 ± </w:t>
            </w:r>
            <w:r w:rsidR="00BB1E03" w:rsidRPr="00BB1E03">
              <w:rPr>
                <w:rFonts w:ascii="Times New Roman" w:hAnsi="Times New Roman" w:cs="Times New Roman"/>
                <w:sz w:val="24"/>
                <w:szCs w:val="24"/>
              </w:rPr>
              <w:t>6.323</w:t>
            </w:r>
          </w:p>
        </w:tc>
        <w:tc>
          <w:tcPr>
            <w:tcW w:w="1620" w:type="dxa"/>
          </w:tcPr>
          <w:p w:rsidR="008863EE" w:rsidRPr="00BB1E03" w:rsidRDefault="00BB1E03" w:rsidP="00A47452">
            <w:pPr>
              <w:rPr>
                <w:rFonts w:ascii="Times New Roman" w:hAnsi="Times New Roman" w:cs="Times New Roman"/>
                <w:sz w:val="24"/>
                <w:szCs w:val="24"/>
              </w:rPr>
            </w:pPr>
            <w:r w:rsidRPr="00BB1E03">
              <w:rPr>
                <w:rFonts w:ascii="Times New Roman" w:hAnsi="Times New Roman" w:cs="Times New Roman"/>
                <w:sz w:val="24"/>
                <w:szCs w:val="24"/>
              </w:rPr>
              <w:t>13.897-19.654</w:t>
            </w:r>
          </w:p>
        </w:tc>
        <w:tc>
          <w:tcPr>
            <w:tcW w:w="1800" w:type="dxa"/>
          </w:tcPr>
          <w:p w:rsidR="008863EE" w:rsidRPr="00BB1E03" w:rsidRDefault="00BB1E03" w:rsidP="00A47452">
            <w:pPr>
              <w:rPr>
                <w:rFonts w:ascii="Times New Roman" w:hAnsi="Times New Roman" w:cs="Times New Roman"/>
                <w:sz w:val="24"/>
                <w:szCs w:val="24"/>
              </w:rPr>
            </w:pPr>
            <w:r w:rsidRPr="00BB1E03">
              <w:rPr>
                <w:rFonts w:ascii="Times New Roman" w:hAnsi="Times New Roman" w:cs="Times New Roman"/>
                <w:sz w:val="24"/>
                <w:szCs w:val="24"/>
              </w:rPr>
              <w:t>15.942 ± 4.705</w:t>
            </w:r>
          </w:p>
        </w:tc>
        <w:tc>
          <w:tcPr>
            <w:tcW w:w="1620" w:type="dxa"/>
          </w:tcPr>
          <w:p w:rsidR="008863EE" w:rsidRPr="00BB1E03" w:rsidRDefault="00BB1E03" w:rsidP="00A47452">
            <w:pPr>
              <w:rPr>
                <w:rFonts w:ascii="Times New Roman" w:hAnsi="Times New Roman" w:cs="Times New Roman"/>
                <w:sz w:val="24"/>
                <w:szCs w:val="24"/>
              </w:rPr>
            </w:pPr>
            <w:r w:rsidRPr="00BB1E03">
              <w:rPr>
                <w:rFonts w:ascii="Times New Roman" w:hAnsi="Times New Roman" w:cs="Times New Roman"/>
                <w:sz w:val="24"/>
                <w:szCs w:val="24"/>
              </w:rPr>
              <w:t>14.153-17.732</w:t>
            </w:r>
          </w:p>
        </w:tc>
        <w:tc>
          <w:tcPr>
            <w:tcW w:w="900" w:type="dxa"/>
          </w:tcPr>
          <w:p w:rsidR="008863EE" w:rsidRPr="00BB1E03" w:rsidRDefault="00BB1E03" w:rsidP="00BB1E03">
            <w:pPr>
              <w:jc w:val="center"/>
              <w:rPr>
                <w:rFonts w:ascii="Times New Roman" w:hAnsi="Times New Roman" w:cs="Times New Roman"/>
                <w:sz w:val="24"/>
                <w:szCs w:val="24"/>
              </w:rPr>
            </w:pPr>
            <w:r>
              <w:rPr>
                <w:rFonts w:ascii="Times New Roman" w:hAnsi="Times New Roman" w:cs="Times New Roman"/>
                <w:sz w:val="24"/>
                <w:szCs w:val="24"/>
              </w:rPr>
              <w:t>0.20</w:t>
            </w:r>
          </w:p>
        </w:tc>
      </w:tr>
      <w:tr w:rsidR="008863EE" w:rsidTr="00A47452">
        <w:tc>
          <w:tcPr>
            <w:tcW w:w="1908" w:type="dxa"/>
          </w:tcPr>
          <w:p w:rsidR="008863EE" w:rsidRPr="00BA32BE" w:rsidRDefault="008863EE" w:rsidP="00A47452">
            <w:pPr>
              <w:rPr>
                <w:rFonts w:ascii="Times New Roman" w:hAnsi="Times New Roman" w:cs="Times New Roman"/>
                <w:sz w:val="24"/>
                <w:szCs w:val="24"/>
              </w:rPr>
            </w:pPr>
            <w:r w:rsidRPr="00BA32BE">
              <w:rPr>
                <w:rFonts w:ascii="Times New Roman" w:hAnsi="Times New Roman" w:cs="Times New Roman"/>
                <w:sz w:val="24"/>
                <w:szCs w:val="24"/>
              </w:rPr>
              <w:t>MCHC (%)</w:t>
            </w:r>
          </w:p>
        </w:tc>
        <w:tc>
          <w:tcPr>
            <w:tcW w:w="180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25.988 ± 4.938</w:t>
            </w:r>
          </w:p>
        </w:tc>
        <w:tc>
          <w:tcPr>
            <w:tcW w:w="162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23.741-28.236</w:t>
            </w:r>
          </w:p>
        </w:tc>
        <w:tc>
          <w:tcPr>
            <w:tcW w:w="180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25.585 ± 4.216</w:t>
            </w:r>
          </w:p>
        </w:tc>
        <w:tc>
          <w:tcPr>
            <w:tcW w:w="1620" w:type="dxa"/>
          </w:tcPr>
          <w:p w:rsidR="008863EE" w:rsidRPr="00BB1E03" w:rsidRDefault="006A4F9E" w:rsidP="00A47452">
            <w:pPr>
              <w:rPr>
                <w:rFonts w:ascii="Times New Roman" w:hAnsi="Times New Roman" w:cs="Times New Roman"/>
                <w:sz w:val="24"/>
                <w:szCs w:val="24"/>
              </w:rPr>
            </w:pPr>
            <w:r w:rsidRPr="00BB1E03">
              <w:rPr>
                <w:rFonts w:ascii="Times New Roman" w:hAnsi="Times New Roman" w:cs="Times New Roman"/>
                <w:sz w:val="24"/>
                <w:szCs w:val="24"/>
              </w:rPr>
              <w:t>23.982-27.189</w:t>
            </w:r>
          </w:p>
        </w:tc>
        <w:tc>
          <w:tcPr>
            <w:tcW w:w="900" w:type="dxa"/>
          </w:tcPr>
          <w:p w:rsidR="008863EE" w:rsidRPr="00BB1E03" w:rsidRDefault="00BB1E03" w:rsidP="00BB1E03">
            <w:pPr>
              <w:jc w:val="center"/>
              <w:rPr>
                <w:rFonts w:ascii="Times New Roman" w:hAnsi="Times New Roman" w:cs="Times New Roman"/>
                <w:sz w:val="24"/>
                <w:szCs w:val="24"/>
              </w:rPr>
            </w:pPr>
            <w:r>
              <w:rPr>
                <w:rFonts w:ascii="Times New Roman" w:hAnsi="Times New Roman" w:cs="Times New Roman"/>
                <w:sz w:val="24"/>
                <w:szCs w:val="24"/>
              </w:rPr>
              <w:t>0.15</w:t>
            </w:r>
          </w:p>
        </w:tc>
      </w:tr>
    </w:tbl>
    <w:p w:rsidR="004B2C1E" w:rsidRDefault="004B2C1E" w:rsidP="00E6162D">
      <w:pPr>
        <w:jc w:val="both"/>
        <w:rPr>
          <w:rFonts w:ascii="Times New Roman" w:hAnsi="Times New Roman" w:cs="Times New Roman"/>
          <w:sz w:val="24"/>
        </w:rPr>
      </w:pPr>
    </w:p>
    <w:p w:rsidR="007F52FF" w:rsidRDefault="007F52FF" w:rsidP="007F52FF">
      <w:pPr>
        <w:jc w:val="center"/>
        <w:rPr>
          <w:rFonts w:ascii="Times New Roman" w:hAnsi="Times New Roman" w:cs="Times New Roman"/>
          <w:sz w:val="24"/>
        </w:rPr>
      </w:pPr>
      <w:r w:rsidRPr="007F52FF">
        <w:rPr>
          <w:rFonts w:ascii="Times New Roman" w:hAnsi="Times New Roman" w:cs="Times New Roman"/>
          <w:noProof/>
          <w:sz w:val="24"/>
        </w:rPr>
        <w:lastRenderedPageBreak/>
        <w:drawing>
          <wp:inline distT="0" distB="0" distL="0" distR="0">
            <wp:extent cx="4917008" cy="2823587"/>
            <wp:effectExtent l="19050" t="0" r="1694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F52FF" w:rsidRDefault="007F52FF" w:rsidP="007F52FF">
      <w:pPr>
        <w:jc w:val="center"/>
        <w:rPr>
          <w:rFonts w:ascii="Times New Roman" w:hAnsi="Times New Roman" w:cs="Times New Roman"/>
          <w:sz w:val="24"/>
        </w:rPr>
      </w:pPr>
      <w:r>
        <w:rPr>
          <w:rFonts w:ascii="Times New Roman" w:hAnsi="Times New Roman" w:cs="Times New Roman"/>
          <w:sz w:val="24"/>
        </w:rPr>
        <w:t>Fig 07: Graphical representation of blood parameters.</w:t>
      </w:r>
    </w:p>
    <w:p w:rsidR="00093700" w:rsidRDefault="00E6162D" w:rsidP="00682F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association of the </w:t>
      </w:r>
      <w:r w:rsidR="00093700">
        <w:rPr>
          <w:rFonts w:ascii="Times New Roman" w:hAnsi="Times New Roman" w:cs="Times New Roman"/>
          <w:sz w:val="24"/>
          <w:szCs w:val="24"/>
        </w:rPr>
        <w:t>hematological parameters</w:t>
      </w:r>
      <w:r>
        <w:rPr>
          <w:rFonts w:ascii="Times New Roman" w:hAnsi="Times New Roman" w:cs="Times New Roman"/>
          <w:sz w:val="24"/>
          <w:szCs w:val="24"/>
        </w:rPr>
        <w:t xml:space="preserve"> at </w:t>
      </w:r>
      <w:r w:rsidRPr="00F0195F">
        <w:rPr>
          <w:rFonts w:ascii="Times New Roman" w:hAnsi="Times New Roman" w:cs="Times New Roman"/>
          <w:i/>
          <w:sz w:val="24"/>
          <w:szCs w:val="24"/>
        </w:rPr>
        <w:t>p</w:t>
      </w:r>
      <w:r>
        <w:rPr>
          <w:rFonts w:ascii="Times New Roman" w:hAnsi="Times New Roman" w:cs="Times New Roman"/>
          <w:sz w:val="24"/>
          <w:szCs w:val="24"/>
        </w:rPr>
        <w:t xml:space="preserve"> ≤ 0.05 is shown in </w:t>
      </w:r>
      <w:r w:rsidRPr="00234EDA">
        <w:rPr>
          <w:rFonts w:ascii="Times New Roman" w:hAnsi="Times New Roman" w:cs="Times New Roman"/>
          <w:sz w:val="24"/>
          <w:szCs w:val="24"/>
        </w:rPr>
        <w:t>Table 0</w:t>
      </w:r>
      <w:r w:rsidR="00234EDA" w:rsidRPr="00234EDA">
        <w:rPr>
          <w:rFonts w:ascii="Times New Roman" w:hAnsi="Times New Roman" w:cs="Times New Roman"/>
          <w:sz w:val="24"/>
          <w:szCs w:val="24"/>
        </w:rPr>
        <w:t>4</w:t>
      </w:r>
      <w:r>
        <w:rPr>
          <w:rFonts w:ascii="Times New Roman" w:hAnsi="Times New Roman" w:cs="Times New Roman"/>
          <w:sz w:val="24"/>
          <w:szCs w:val="24"/>
        </w:rPr>
        <w:t xml:space="preserve">. </w:t>
      </w:r>
    </w:p>
    <w:p w:rsidR="00093700" w:rsidRPr="00093700" w:rsidRDefault="00234EDA" w:rsidP="00682F21">
      <w:pPr>
        <w:spacing w:after="0" w:line="360" w:lineRule="auto"/>
        <w:jc w:val="both"/>
        <w:rPr>
          <w:rFonts w:ascii="Times New Roman" w:hAnsi="Times New Roman" w:cs="Times New Roman"/>
          <w:sz w:val="24"/>
          <w:szCs w:val="24"/>
        </w:rPr>
      </w:pPr>
      <w:r w:rsidRPr="00234EDA">
        <w:rPr>
          <w:rFonts w:ascii="Times New Roman" w:hAnsi="Times New Roman" w:cs="Times New Roman"/>
          <w:sz w:val="24"/>
          <w:szCs w:val="24"/>
        </w:rPr>
        <w:t>Table 04</w:t>
      </w:r>
      <w:r w:rsidR="00093700">
        <w:rPr>
          <w:rFonts w:ascii="Times New Roman" w:hAnsi="Times New Roman" w:cs="Times New Roman"/>
          <w:sz w:val="24"/>
        </w:rPr>
        <w:t>: Association of positive samples and explanatory variables (p ≤ 0.05) in multinomial logistic regression model</w:t>
      </w:r>
    </w:p>
    <w:tbl>
      <w:tblPr>
        <w:tblStyle w:val="TableGrid"/>
        <w:tblW w:w="0" w:type="auto"/>
        <w:tblLook w:val="04A0"/>
      </w:tblPr>
      <w:tblGrid>
        <w:gridCol w:w="1430"/>
        <w:gridCol w:w="1381"/>
        <w:gridCol w:w="1254"/>
        <w:gridCol w:w="1263"/>
        <w:gridCol w:w="1275"/>
        <w:gridCol w:w="1307"/>
        <w:gridCol w:w="1306"/>
      </w:tblGrid>
      <w:tr w:rsidR="00093700" w:rsidTr="00BB1E03">
        <w:trPr>
          <w:trHeight w:val="323"/>
        </w:trPr>
        <w:tc>
          <w:tcPr>
            <w:tcW w:w="1430" w:type="dxa"/>
            <w:vAlign w:val="center"/>
          </w:tcPr>
          <w:p w:rsidR="00093700" w:rsidRPr="00CA1003" w:rsidRDefault="00093700" w:rsidP="00A47452">
            <w:pPr>
              <w:jc w:val="center"/>
              <w:rPr>
                <w:rFonts w:ascii="Times New Roman" w:hAnsi="Times New Roman" w:cs="Times New Roman"/>
                <w:b/>
                <w:sz w:val="24"/>
              </w:rPr>
            </w:pPr>
            <w:r w:rsidRPr="00CA1003">
              <w:rPr>
                <w:rFonts w:ascii="Times New Roman" w:hAnsi="Times New Roman" w:cs="Times New Roman"/>
                <w:b/>
                <w:sz w:val="24"/>
              </w:rPr>
              <w:t>Variables</w:t>
            </w:r>
          </w:p>
        </w:tc>
        <w:tc>
          <w:tcPr>
            <w:tcW w:w="1381" w:type="dxa"/>
            <w:vAlign w:val="center"/>
          </w:tcPr>
          <w:p w:rsidR="00093700" w:rsidRPr="00CA1003" w:rsidRDefault="00093700" w:rsidP="00A47452">
            <w:pPr>
              <w:jc w:val="center"/>
              <w:rPr>
                <w:rFonts w:ascii="Times New Roman" w:hAnsi="Times New Roman" w:cs="Times New Roman"/>
                <w:b/>
                <w:sz w:val="24"/>
              </w:rPr>
            </w:pPr>
            <w:r w:rsidRPr="00CA1003">
              <w:rPr>
                <w:rFonts w:ascii="Times New Roman" w:hAnsi="Times New Roman" w:cs="Times New Roman"/>
                <w:b/>
                <w:sz w:val="24"/>
              </w:rPr>
              <w:t>Co-efficient</w:t>
            </w:r>
          </w:p>
        </w:tc>
        <w:tc>
          <w:tcPr>
            <w:tcW w:w="1254" w:type="dxa"/>
            <w:vAlign w:val="center"/>
          </w:tcPr>
          <w:p w:rsidR="00093700" w:rsidRPr="00CA1003" w:rsidRDefault="00093700" w:rsidP="00A47452">
            <w:pPr>
              <w:jc w:val="center"/>
              <w:rPr>
                <w:rFonts w:ascii="Times New Roman" w:hAnsi="Times New Roman" w:cs="Times New Roman"/>
                <w:b/>
                <w:sz w:val="24"/>
              </w:rPr>
            </w:pPr>
            <w:r w:rsidRPr="00CA1003">
              <w:rPr>
                <w:rFonts w:ascii="Times New Roman" w:hAnsi="Times New Roman" w:cs="Times New Roman"/>
                <w:b/>
                <w:sz w:val="24"/>
              </w:rPr>
              <w:t>Std. Error</w:t>
            </w:r>
          </w:p>
        </w:tc>
        <w:tc>
          <w:tcPr>
            <w:tcW w:w="1263" w:type="dxa"/>
            <w:vAlign w:val="center"/>
          </w:tcPr>
          <w:p w:rsidR="00093700" w:rsidRPr="00CA1003" w:rsidRDefault="00093700" w:rsidP="00A47452">
            <w:pPr>
              <w:jc w:val="center"/>
              <w:rPr>
                <w:rFonts w:ascii="Times New Roman" w:hAnsi="Times New Roman" w:cs="Times New Roman"/>
                <w:b/>
                <w:sz w:val="24"/>
              </w:rPr>
            </w:pPr>
            <w:r w:rsidRPr="00CA1003">
              <w:rPr>
                <w:rFonts w:ascii="Times New Roman" w:hAnsi="Times New Roman" w:cs="Times New Roman"/>
                <w:b/>
                <w:sz w:val="24"/>
              </w:rPr>
              <w:t>t</w:t>
            </w:r>
          </w:p>
        </w:tc>
        <w:tc>
          <w:tcPr>
            <w:tcW w:w="1275" w:type="dxa"/>
            <w:vAlign w:val="center"/>
          </w:tcPr>
          <w:p w:rsidR="00093700" w:rsidRPr="00CA1003" w:rsidRDefault="00093700" w:rsidP="00A47452">
            <w:pPr>
              <w:jc w:val="center"/>
              <w:rPr>
                <w:rFonts w:ascii="Times New Roman" w:hAnsi="Times New Roman" w:cs="Times New Roman"/>
                <w:b/>
                <w:sz w:val="24"/>
              </w:rPr>
            </w:pPr>
            <w:r w:rsidRPr="00CA1003">
              <w:rPr>
                <w:rFonts w:ascii="Times New Roman" w:hAnsi="Times New Roman" w:cs="Times New Roman"/>
                <w:b/>
                <w:sz w:val="24"/>
              </w:rPr>
              <w:t>P &gt; t</w:t>
            </w:r>
          </w:p>
        </w:tc>
        <w:tc>
          <w:tcPr>
            <w:tcW w:w="2613" w:type="dxa"/>
            <w:gridSpan w:val="2"/>
            <w:vAlign w:val="center"/>
          </w:tcPr>
          <w:p w:rsidR="00093700" w:rsidRPr="00CA1003" w:rsidRDefault="00093700" w:rsidP="00A47452">
            <w:pPr>
              <w:jc w:val="center"/>
              <w:rPr>
                <w:rFonts w:ascii="Times New Roman" w:hAnsi="Times New Roman" w:cs="Times New Roman"/>
                <w:b/>
                <w:sz w:val="24"/>
              </w:rPr>
            </w:pPr>
            <w:r w:rsidRPr="00CA1003">
              <w:rPr>
                <w:rFonts w:ascii="Times New Roman" w:hAnsi="Times New Roman" w:cs="Times New Roman"/>
                <w:b/>
                <w:sz w:val="24"/>
              </w:rPr>
              <w:t>95% CI</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sidRPr="00BA32BE">
              <w:rPr>
                <w:rFonts w:ascii="Times New Roman" w:hAnsi="Times New Roman" w:cs="Times New Roman"/>
                <w:sz w:val="24"/>
                <w:szCs w:val="24"/>
              </w:rPr>
              <w:t>Hb (g</w:t>
            </w:r>
            <w:r>
              <w:rPr>
                <w:rFonts w:ascii="Times New Roman" w:hAnsi="Times New Roman" w:cs="Times New Roman"/>
                <w:sz w:val="24"/>
                <w:szCs w:val="24"/>
              </w:rPr>
              <w:t>m</w:t>
            </w:r>
            <w:r w:rsidRPr="00BA32BE">
              <w:rPr>
                <w:rFonts w:ascii="Times New Roman" w:hAnsi="Times New Roman" w:cs="Times New Roman"/>
                <w:sz w:val="24"/>
                <w:szCs w:val="24"/>
              </w:rPr>
              <w:t>/dl)</w:t>
            </w:r>
          </w:p>
        </w:tc>
        <w:tc>
          <w:tcPr>
            <w:tcW w:w="1381"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.24235</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.1429</w:t>
            </w:r>
            <w:r>
              <w:rPr>
                <w:rFonts w:ascii="Times New Roman" w:hAnsi="Times New Roman" w:cs="Times New Roman"/>
                <w:sz w:val="24"/>
                <w:szCs w:val="24"/>
              </w:rPr>
              <w:t>6</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-1.70</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0.098</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.53127</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.04657</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sidRPr="00BA32BE">
              <w:rPr>
                <w:rFonts w:ascii="Times New Roman" w:hAnsi="Times New Roman" w:cs="Times New Roman"/>
                <w:sz w:val="24"/>
                <w:szCs w:val="24"/>
              </w:rPr>
              <w:t>PCV (%)</w:t>
            </w:r>
          </w:p>
        </w:tc>
        <w:tc>
          <w:tcPr>
            <w:tcW w:w="1381"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.0043</w:t>
            </w:r>
            <w:r>
              <w:rPr>
                <w:rFonts w:ascii="Times New Roman" w:hAnsi="Times New Roman" w:cs="Times New Roman"/>
                <w:sz w:val="24"/>
                <w:szCs w:val="24"/>
              </w:rPr>
              <w:t>5</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.01348</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-0.32</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0.749</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.03159</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.0229</w:t>
            </w:r>
            <w:r>
              <w:rPr>
                <w:rFonts w:ascii="Times New Roman" w:hAnsi="Times New Roman" w:cs="Times New Roman"/>
                <w:sz w:val="24"/>
                <w:szCs w:val="24"/>
              </w:rPr>
              <w:t>1</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Pr>
                <w:rFonts w:ascii="Times New Roman" w:hAnsi="Times New Roman" w:cs="Times New Roman"/>
                <w:sz w:val="24"/>
                <w:szCs w:val="24"/>
              </w:rPr>
              <w:t>ESR (mm in first hou</w:t>
            </w:r>
            <w:r w:rsidRPr="00BA32BE">
              <w:rPr>
                <w:rFonts w:ascii="Times New Roman" w:hAnsi="Times New Roman" w:cs="Times New Roman"/>
                <w:sz w:val="24"/>
                <w:szCs w:val="24"/>
              </w:rPr>
              <w:t>r)</w:t>
            </w:r>
          </w:p>
        </w:tc>
        <w:tc>
          <w:tcPr>
            <w:tcW w:w="1381"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w:t>
            </w:r>
          </w:p>
        </w:tc>
        <w:tc>
          <w:tcPr>
            <w:tcW w:w="1263"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w:t>
            </w:r>
          </w:p>
        </w:tc>
        <w:tc>
          <w:tcPr>
            <w:tcW w:w="1307"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Pr>
                <w:rFonts w:ascii="Times New Roman" w:hAnsi="Times New Roman" w:cs="Times New Roman"/>
                <w:sz w:val="24"/>
                <w:szCs w:val="24"/>
              </w:rPr>
              <w:t>TE</w:t>
            </w:r>
            <w:r w:rsidR="003B4C8F">
              <w:rPr>
                <w:rFonts w:ascii="Times New Roman" w:hAnsi="Times New Roman" w:cs="Times New Roman"/>
                <w:sz w:val="24"/>
                <w:szCs w:val="24"/>
              </w:rPr>
              <w:t>C (x10</w:t>
            </w:r>
            <w:r w:rsidR="003B4C8F">
              <w:rPr>
                <w:rFonts w:ascii="Times New Roman" w:hAnsi="Times New Roman" w:cs="Times New Roman"/>
                <w:sz w:val="24"/>
                <w:szCs w:val="24"/>
                <w:vertAlign w:val="superscript"/>
              </w:rPr>
              <w:t>6</w:t>
            </w:r>
            <w:r w:rsidR="003B4C8F">
              <w:rPr>
                <w:rFonts w:ascii="Times New Roman" w:hAnsi="Times New Roman" w:cs="Times New Roman"/>
                <w:sz w:val="24"/>
                <w:szCs w:val="24"/>
              </w:rPr>
              <w:t xml:space="preserve"> </w:t>
            </w:r>
            <w:r w:rsidRPr="00BA32BE">
              <w:rPr>
                <w:rFonts w:ascii="Times New Roman" w:hAnsi="Times New Roman" w:cs="Times New Roman"/>
                <w:sz w:val="24"/>
                <w:szCs w:val="24"/>
              </w:rPr>
              <w:t>cells/μl)</w:t>
            </w:r>
          </w:p>
        </w:tc>
        <w:tc>
          <w:tcPr>
            <w:tcW w:w="1381"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.02989</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.0503</w:t>
            </w:r>
            <w:r>
              <w:rPr>
                <w:rFonts w:ascii="Times New Roman" w:hAnsi="Times New Roman" w:cs="Times New Roman"/>
                <w:sz w:val="24"/>
                <w:szCs w:val="24"/>
              </w:rPr>
              <w:t>3</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0.59</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0.556</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.0718</w:t>
            </w:r>
            <w:r>
              <w:rPr>
                <w:rFonts w:ascii="Times New Roman" w:hAnsi="Times New Roman" w:cs="Times New Roman"/>
                <w:sz w:val="24"/>
                <w:szCs w:val="24"/>
              </w:rPr>
              <w:t>2</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.1316</w:t>
            </w:r>
            <w:r>
              <w:rPr>
                <w:rFonts w:ascii="Times New Roman" w:hAnsi="Times New Roman" w:cs="Times New Roman"/>
                <w:sz w:val="24"/>
                <w:szCs w:val="24"/>
              </w:rPr>
              <w:t>2</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Pr>
                <w:rFonts w:ascii="Times New Roman" w:hAnsi="Times New Roman" w:cs="Times New Roman"/>
                <w:sz w:val="24"/>
                <w:szCs w:val="24"/>
              </w:rPr>
              <w:t>TL</w:t>
            </w:r>
            <w:r w:rsidR="003B4C8F">
              <w:rPr>
                <w:rFonts w:ascii="Times New Roman" w:hAnsi="Times New Roman" w:cs="Times New Roman"/>
                <w:sz w:val="24"/>
                <w:szCs w:val="24"/>
              </w:rPr>
              <w:t>C (x10</w:t>
            </w:r>
            <w:r w:rsidR="003B4C8F">
              <w:rPr>
                <w:rFonts w:ascii="Times New Roman" w:hAnsi="Times New Roman" w:cs="Times New Roman"/>
                <w:sz w:val="24"/>
                <w:szCs w:val="24"/>
                <w:vertAlign w:val="superscript"/>
              </w:rPr>
              <w:t>3</w:t>
            </w:r>
            <w:r w:rsidRPr="00BA32BE">
              <w:rPr>
                <w:rFonts w:ascii="Times New Roman" w:hAnsi="Times New Roman" w:cs="Times New Roman"/>
                <w:sz w:val="24"/>
                <w:szCs w:val="24"/>
              </w:rPr>
              <w:t>)</w:t>
            </w:r>
          </w:p>
        </w:tc>
        <w:tc>
          <w:tcPr>
            <w:tcW w:w="1381"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.00002</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.0000</w:t>
            </w:r>
            <w:r>
              <w:rPr>
                <w:rFonts w:ascii="Times New Roman" w:hAnsi="Times New Roman" w:cs="Times New Roman"/>
                <w:sz w:val="24"/>
                <w:szCs w:val="24"/>
              </w:rPr>
              <w:t>3</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-0.86</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0.394</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.00007</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.0000</w:t>
            </w:r>
            <w:r>
              <w:rPr>
                <w:rFonts w:ascii="Times New Roman" w:hAnsi="Times New Roman" w:cs="Times New Roman"/>
                <w:sz w:val="24"/>
                <w:szCs w:val="24"/>
              </w:rPr>
              <w:t>3</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sidRPr="00BA32BE">
              <w:rPr>
                <w:rFonts w:ascii="Times New Roman" w:hAnsi="Times New Roman" w:cs="Times New Roman"/>
                <w:sz w:val="24"/>
                <w:szCs w:val="24"/>
              </w:rPr>
              <w:t>Lymphocyte (%)</w:t>
            </w:r>
          </w:p>
        </w:tc>
        <w:tc>
          <w:tcPr>
            <w:tcW w:w="1381"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.00349</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.01511</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-0.23</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0.818</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.0340</w:t>
            </w:r>
            <w:r>
              <w:rPr>
                <w:rFonts w:ascii="Times New Roman" w:hAnsi="Times New Roman" w:cs="Times New Roman"/>
                <w:sz w:val="24"/>
                <w:szCs w:val="24"/>
              </w:rPr>
              <w:t>4</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.0270</w:t>
            </w:r>
            <w:r>
              <w:rPr>
                <w:rFonts w:ascii="Times New Roman" w:hAnsi="Times New Roman" w:cs="Times New Roman"/>
                <w:sz w:val="24"/>
                <w:szCs w:val="24"/>
              </w:rPr>
              <w:t>5</w:t>
            </w:r>
          </w:p>
        </w:tc>
      </w:tr>
      <w:tr w:rsidR="00093700" w:rsidTr="00BB1E03">
        <w:tc>
          <w:tcPr>
            <w:tcW w:w="1430" w:type="dxa"/>
          </w:tcPr>
          <w:p w:rsidR="00093700" w:rsidRDefault="00093700" w:rsidP="00A47452">
            <w:pPr>
              <w:rPr>
                <w:rFonts w:ascii="Times New Roman" w:hAnsi="Times New Roman" w:cs="Times New Roman"/>
                <w:sz w:val="24"/>
              </w:rPr>
            </w:pPr>
            <w:r w:rsidRPr="00BA32BE">
              <w:rPr>
                <w:rFonts w:ascii="Times New Roman" w:hAnsi="Times New Roman" w:cs="Times New Roman"/>
                <w:sz w:val="24"/>
                <w:szCs w:val="24"/>
              </w:rPr>
              <w:t>Monocyte (%)</w:t>
            </w:r>
          </w:p>
        </w:tc>
        <w:tc>
          <w:tcPr>
            <w:tcW w:w="1381"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.04927</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.03408</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-1.45</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0.156</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.1181</w:t>
            </w:r>
            <w:r>
              <w:rPr>
                <w:rFonts w:ascii="Times New Roman" w:hAnsi="Times New Roman" w:cs="Times New Roman"/>
                <w:sz w:val="24"/>
                <w:szCs w:val="24"/>
              </w:rPr>
              <w:t>7</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.01962</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sidRPr="00BA32BE">
              <w:rPr>
                <w:rFonts w:ascii="Times New Roman" w:hAnsi="Times New Roman" w:cs="Times New Roman"/>
                <w:sz w:val="24"/>
                <w:szCs w:val="24"/>
              </w:rPr>
              <w:t>Neutrophils (%)</w:t>
            </w:r>
          </w:p>
        </w:tc>
        <w:tc>
          <w:tcPr>
            <w:tcW w:w="1381"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.00942</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.0171</w:t>
            </w:r>
            <w:r>
              <w:rPr>
                <w:rFonts w:ascii="Times New Roman" w:hAnsi="Times New Roman" w:cs="Times New Roman"/>
                <w:sz w:val="24"/>
                <w:szCs w:val="24"/>
              </w:rPr>
              <w:t>3</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-0.55</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0.585</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.04404</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.02519</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sidRPr="00BA32BE">
              <w:rPr>
                <w:rFonts w:ascii="Times New Roman" w:hAnsi="Times New Roman" w:cs="Times New Roman"/>
                <w:sz w:val="24"/>
                <w:szCs w:val="24"/>
              </w:rPr>
              <w:t>Eosinophil (%)</w:t>
            </w:r>
          </w:p>
        </w:tc>
        <w:tc>
          <w:tcPr>
            <w:tcW w:w="1381"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.0238</w:t>
            </w:r>
            <w:r>
              <w:rPr>
                <w:rFonts w:ascii="Times New Roman" w:hAnsi="Times New Roman" w:cs="Times New Roman"/>
                <w:sz w:val="24"/>
                <w:szCs w:val="24"/>
              </w:rPr>
              <w:t>7</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.02157</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-1.11</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0.275</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.0674</w:t>
            </w:r>
            <w:r>
              <w:rPr>
                <w:rFonts w:ascii="Times New Roman" w:hAnsi="Times New Roman" w:cs="Times New Roman"/>
                <w:sz w:val="24"/>
                <w:szCs w:val="24"/>
              </w:rPr>
              <w:t>7</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.0197</w:t>
            </w:r>
            <w:r>
              <w:rPr>
                <w:rFonts w:ascii="Times New Roman" w:hAnsi="Times New Roman" w:cs="Times New Roman"/>
                <w:sz w:val="24"/>
                <w:szCs w:val="24"/>
              </w:rPr>
              <w:t>3</w:t>
            </w:r>
          </w:p>
        </w:tc>
      </w:tr>
      <w:tr w:rsidR="00093700" w:rsidTr="00BB1E03">
        <w:tc>
          <w:tcPr>
            <w:tcW w:w="1430" w:type="dxa"/>
          </w:tcPr>
          <w:p w:rsidR="00093700" w:rsidRPr="00BA32BE" w:rsidRDefault="00093700" w:rsidP="00A47452">
            <w:pPr>
              <w:rPr>
                <w:rFonts w:ascii="Times New Roman" w:hAnsi="Times New Roman" w:cs="Times New Roman"/>
                <w:sz w:val="24"/>
                <w:szCs w:val="24"/>
              </w:rPr>
            </w:pPr>
            <w:r w:rsidRPr="00BA32BE">
              <w:rPr>
                <w:rFonts w:ascii="Times New Roman" w:hAnsi="Times New Roman" w:cs="Times New Roman"/>
                <w:sz w:val="24"/>
                <w:szCs w:val="24"/>
              </w:rPr>
              <w:t>Basophil (%)</w:t>
            </w:r>
          </w:p>
        </w:tc>
        <w:tc>
          <w:tcPr>
            <w:tcW w:w="1381"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.1522</w:t>
            </w:r>
            <w:r>
              <w:rPr>
                <w:rFonts w:ascii="Times New Roman" w:hAnsi="Times New Roman" w:cs="Times New Roman"/>
                <w:sz w:val="24"/>
                <w:szCs w:val="24"/>
              </w:rPr>
              <w:t>3</w:t>
            </w:r>
          </w:p>
        </w:tc>
        <w:tc>
          <w:tcPr>
            <w:tcW w:w="1254"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.1601</w:t>
            </w:r>
            <w:r>
              <w:rPr>
                <w:rFonts w:ascii="Times New Roman" w:hAnsi="Times New Roman" w:cs="Times New Roman"/>
                <w:sz w:val="24"/>
                <w:szCs w:val="24"/>
              </w:rPr>
              <w:t>1</w:t>
            </w:r>
          </w:p>
        </w:tc>
        <w:tc>
          <w:tcPr>
            <w:tcW w:w="1263"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0.95</w:t>
            </w:r>
          </w:p>
        </w:tc>
        <w:tc>
          <w:tcPr>
            <w:tcW w:w="1275"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0.347</w:t>
            </w:r>
          </w:p>
        </w:tc>
        <w:tc>
          <w:tcPr>
            <w:tcW w:w="1307" w:type="dxa"/>
            <w:vAlign w:val="center"/>
          </w:tcPr>
          <w:p w:rsidR="00093700" w:rsidRPr="007446D8" w:rsidRDefault="00093700" w:rsidP="00A47452">
            <w:pPr>
              <w:jc w:val="center"/>
              <w:rPr>
                <w:rFonts w:ascii="Times New Roman" w:hAnsi="Times New Roman" w:cs="Times New Roman"/>
                <w:sz w:val="24"/>
                <w:szCs w:val="24"/>
              </w:rPr>
            </w:pPr>
            <w:r w:rsidRPr="007446D8">
              <w:rPr>
                <w:rFonts w:ascii="Times New Roman" w:hAnsi="Times New Roman" w:cs="Times New Roman"/>
                <w:sz w:val="24"/>
                <w:szCs w:val="24"/>
              </w:rPr>
              <w:t>-</w:t>
            </w:r>
            <w:r>
              <w:rPr>
                <w:rFonts w:ascii="Times New Roman" w:hAnsi="Times New Roman" w:cs="Times New Roman"/>
                <w:sz w:val="24"/>
                <w:szCs w:val="24"/>
              </w:rPr>
              <w:t>0</w:t>
            </w:r>
            <w:r w:rsidRPr="007446D8">
              <w:rPr>
                <w:rFonts w:ascii="Times New Roman" w:hAnsi="Times New Roman" w:cs="Times New Roman"/>
                <w:sz w:val="24"/>
                <w:szCs w:val="24"/>
              </w:rPr>
              <w:t>.17135</w:t>
            </w:r>
          </w:p>
        </w:tc>
        <w:tc>
          <w:tcPr>
            <w:tcW w:w="1306" w:type="dxa"/>
            <w:vAlign w:val="center"/>
          </w:tcPr>
          <w:p w:rsidR="00093700" w:rsidRPr="007446D8" w:rsidRDefault="00093700" w:rsidP="00A47452">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.4758</w:t>
            </w:r>
            <w:r>
              <w:rPr>
                <w:rFonts w:ascii="Times New Roman" w:hAnsi="Times New Roman" w:cs="Times New Roman"/>
                <w:sz w:val="24"/>
                <w:szCs w:val="24"/>
              </w:rPr>
              <w:t>1</w:t>
            </w:r>
          </w:p>
        </w:tc>
      </w:tr>
      <w:tr w:rsidR="00BB1E03" w:rsidTr="00BB1E03">
        <w:tc>
          <w:tcPr>
            <w:tcW w:w="1430" w:type="dxa"/>
          </w:tcPr>
          <w:p w:rsidR="00BB1E03" w:rsidRPr="00BA32BE" w:rsidRDefault="00BB1E03" w:rsidP="00A47452">
            <w:pPr>
              <w:rPr>
                <w:rFonts w:ascii="Times New Roman" w:hAnsi="Times New Roman" w:cs="Times New Roman"/>
                <w:sz w:val="24"/>
                <w:szCs w:val="24"/>
              </w:rPr>
            </w:pPr>
            <w:r w:rsidRPr="00BA32BE">
              <w:rPr>
                <w:rFonts w:ascii="Times New Roman" w:hAnsi="Times New Roman" w:cs="Times New Roman"/>
                <w:sz w:val="24"/>
                <w:szCs w:val="24"/>
              </w:rPr>
              <w:t>MCV (fl)</w:t>
            </w:r>
          </w:p>
        </w:tc>
        <w:tc>
          <w:tcPr>
            <w:tcW w:w="1381"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.0043</w:t>
            </w:r>
            <w:r>
              <w:rPr>
                <w:rFonts w:ascii="Times New Roman" w:hAnsi="Times New Roman" w:cs="Times New Roman"/>
                <w:sz w:val="24"/>
                <w:szCs w:val="24"/>
              </w:rPr>
              <w:t>5</w:t>
            </w:r>
          </w:p>
        </w:tc>
        <w:tc>
          <w:tcPr>
            <w:tcW w:w="1254"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.01348</w:t>
            </w:r>
          </w:p>
        </w:tc>
        <w:tc>
          <w:tcPr>
            <w:tcW w:w="1263" w:type="dxa"/>
            <w:vAlign w:val="center"/>
          </w:tcPr>
          <w:p w:rsidR="00BB1E03" w:rsidRPr="007446D8" w:rsidRDefault="00BB1E03" w:rsidP="00D111EF">
            <w:pPr>
              <w:jc w:val="center"/>
              <w:rPr>
                <w:rFonts w:ascii="Times New Roman" w:hAnsi="Times New Roman" w:cs="Times New Roman"/>
                <w:sz w:val="24"/>
                <w:szCs w:val="24"/>
              </w:rPr>
            </w:pPr>
            <w:r w:rsidRPr="007446D8">
              <w:rPr>
                <w:rFonts w:ascii="Times New Roman" w:hAnsi="Times New Roman" w:cs="Times New Roman"/>
                <w:sz w:val="24"/>
                <w:szCs w:val="24"/>
              </w:rPr>
              <w:t>0.32</w:t>
            </w:r>
          </w:p>
        </w:tc>
        <w:tc>
          <w:tcPr>
            <w:tcW w:w="1275" w:type="dxa"/>
            <w:vAlign w:val="center"/>
          </w:tcPr>
          <w:p w:rsidR="00BB1E03" w:rsidRPr="007446D8" w:rsidRDefault="00BB1E03" w:rsidP="00BB1E03">
            <w:pPr>
              <w:jc w:val="center"/>
              <w:rPr>
                <w:rFonts w:ascii="Times New Roman" w:hAnsi="Times New Roman" w:cs="Times New Roman"/>
                <w:sz w:val="24"/>
                <w:szCs w:val="24"/>
              </w:rPr>
            </w:pPr>
            <w:r w:rsidRPr="007446D8">
              <w:rPr>
                <w:rFonts w:ascii="Times New Roman" w:hAnsi="Times New Roman" w:cs="Times New Roman"/>
                <w:sz w:val="24"/>
                <w:szCs w:val="24"/>
              </w:rPr>
              <w:t>0.</w:t>
            </w:r>
            <w:r>
              <w:rPr>
                <w:rFonts w:ascii="Times New Roman" w:hAnsi="Times New Roman" w:cs="Times New Roman"/>
                <w:sz w:val="24"/>
                <w:szCs w:val="24"/>
              </w:rPr>
              <w:t>131</w:t>
            </w:r>
          </w:p>
        </w:tc>
        <w:tc>
          <w:tcPr>
            <w:tcW w:w="1307"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.03159</w:t>
            </w:r>
          </w:p>
        </w:tc>
        <w:tc>
          <w:tcPr>
            <w:tcW w:w="1306"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.0229</w:t>
            </w:r>
            <w:r>
              <w:rPr>
                <w:rFonts w:ascii="Times New Roman" w:hAnsi="Times New Roman" w:cs="Times New Roman"/>
                <w:sz w:val="24"/>
                <w:szCs w:val="24"/>
              </w:rPr>
              <w:t>1</w:t>
            </w:r>
          </w:p>
        </w:tc>
      </w:tr>
      <w:tr w:rsidR="00BB1E03" w:rsidTr="003464C3">
        <w:tc>
          <w:tcPr>
            <w:tcW w:w="1430" w:type="dxa"/>
          </w:tcPr>
          <w:p w:rsidR="00BB1E03" w:rsidRPr="00BA32BE" w:rsidRDefault="00BB1E03" w:rsidP="00A47452">
            <w:pPr>
              <w:rPr>
                <w:rFonts w:ascii="Times New Roman" w:hAnsi="Times New Roman" w:cs="Times New Roman"/>
                <w:sz w:val="24"/>
                <w:szCs w:val="24"/>
              </w:rPr>
            </w:pPr>
            <w:r w:rsidRPr="00BA32BE">
              <w:rPr>
                <w:rFonts w:ascii="Times New Roman" w:hAnsi="Times New Roman" w:cs="Times New Roman"/>
                <w:sz w:val="24"/>
                <w:szCs w:val="24"/>
              </w:rPr>
              <w:t>MCH (pg)</w:t>
            </w:r>
          </w:p>
        </w:tc>
        <w:tc>
          <w:tcPr>
            <w:tcW w:w="1381"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.00349</w:t>
            </w:r>
          </w:p>
        </w:tc>
        <w:tc>
          <w:tcPr>
            <w:tcW w:w="1254"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.01511</w:t>
            </w:r>
          </w:p>
        </w:tc>
        <w:tc>
          <w:tcPr>
            <w:tcW w:w="1263" w:type="dxa"/>
            <w:vAlign w:val="center"/>
          </w:tcPr>
          <w:p w:rsidR="00BB1E03" w:rsidRPr="007446D8" w:rsidRDefault="00BB1E03" w:rsidP="00D111EF">
            <w:pPr>
              <w:jc w:val="center"/>
              <w:rPr>
                <w:rFonts w:ascii="Times New Roman" w:hAnsi="Times New Roman" w:cs="Times New Roman"/>
                <w:sz w:val="24"/>
                <w:szCs w:val="24"/>
              </w:rPr>
            </w:pPr>
            <w:r w:rsidRPr="007446D8">
              <w:rPr>
                <w:rFonts w:ascii="Times New Roman" w:hAnsi="Times New Roman" w:cs="Times New Roman"/>
                <w:sz w:val="24"/>
                <w:szCs w:val="24"/>
              </w:rPr>
              <w:t>0.23</w:t>
            </w:r>
          </w:p>
        </w:tc>
        <w:tc>
          <w:tcPr>
            <w:tcW w:w="1275" w:type="dxa"/>
            <w:vAlign w:val="center"/>
          </w:tcPr>
          <w:p w:rsidR="00BB1E03" w:rsidRPr="007446D8" w:rsidRDefault="00BB1E03" w:rsidP="00BB1E03">
            <w:pPr>
              <w:jc w:val="center"/>
              <w:rPr>
                <w:rFonts w:ascii="Times New Roman" w:hAnsi="Times New Roman" w:cs="Times New Roman"/>
                <w:sz w:val="24"/>
                <w:szCs w:val="24"/>
              </w:rPr>
            </w:pPr>
            <w:r w:rsidRPr="007446D8">
              <w:rPr>
                <w:rFonts w:ascii="Times New Roman" w:hAnsi="Times New Roman" w:cs="Times New Roman"/>
                <w:sz w:val="24"/>
                <w:szCs w:val="24"/>
              </w:rPr>
              <w:t>0.</w:t>
            </w:r>
            <w:r>
              <w:rPr>
                <w:rFonts w:ascii="Times New Roman" w:hAnsi="Times New Roman" w:cs="Times New Roman"/>
                <w:sz w:val="24"/>
                <w:szCs w:val="24"/>
              </w:rPr>
              <w:t>200</w:t>
            </w:r>
          </w:p>
        </w:tc>
        <w:tc>
          <w:tcPr>
            <w:tcW w:w="1307"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.0340</w:t>
            </w:r>
            <w:r>
              <w:rPr>
                <w:rFonts w:ascii="Times New Roman" w:hAnsi="Times New Roman" w:cs="Times New Roman"/>
                <w:sz w:val="24"/>
                <w:szCs w:val="24"/>
              </w:rPr>
              <w:t>4</w:t>
            </w:r>
          </w:p>
        </w:tc>
        <w:tc>
          <w:tcPr>
            <w:tcW w:w="1306"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.0270</w:t>
            </w:r>
            <w:r>
              <w:rPr>
                <w:rFonts w:ascii="Times New Roman" w:hAnsi="Times New Roman" w:cs="Times New Roman"/>
                <w:sz w:val="24"/>
                <w:szCs w:val="24"/>
              </w:rPr>
              <w:t>5</w:t>
            </w:r>
          </w:p>
        </w:tc>
      </w:tr>
      <w:tr w:rsidR="00BB1E03" w:rsidTr="00E03E38">
        <w:tc>
          <w:tcPr>
            <w:tcW w:w="1430" w:type="dxa"/>
          </w:tcPr>
          <w:p w:rsidR="00BB1E03" w:rsidRPr="00BA32BE" w:rsidRDefault="00BB1E03" w:rsidP="00A47452">
            <w:pPr>
              <w:rPr>
                <w:rFonts w:ascii="Times New Roman" w:hAnsi="Times New Roman" w:cs="Times New Roman"/>
                <w:sz w:val="24"/>
                <w:szCs w:val="24"/>
              </w:rPr>
            </w:pPr>
            <w:r w:rsidRPr="00BA32BE">
              <w:rPr>
                <w:rFonts w:ascii="Times New Roman" w:hAnsi="Times New Roman" w:cs="Times New Roman"/>
                <w:sz w:val="24"/>
                <w:szCs w:val="24"/>
              </w:rPr>
              <w:t>MCHC (%)</w:t>
            </w:r>
          </w:p>
        </w:tc>
        <w:tc>
          <w:tcPr>
            <w:tcW w:w="1381"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.02989</w:t>
            </w:r>
          </w:p>
        </w:tc>
        <w:tc>
          <w:tcPr>
            <w:tcW w:w="1254"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.0503</w:t>
            </w:r>
            <w:r>
              <w:rPr>
                <w:rFonts w:ascii="Times New Roman" w:hAnsi="Times New Roman" w:cs="Times New Roman"/>
                <w:sz w:val="24"/>
                <w:szCs w:val="24"/>
              </w:rPr>
              <w:t>3</w:t>
            </w:r>
          </w:p>
        </w:tc>
        <w:tc>
          <w:tcPr>
            <w:tcW w:w="1263" w:type="dxa"/>
            <w:vAlign w:val="center"/>
          </w:tcPr>
          <w:p w:rsidR="00BB1E03" w:rsidRPr="007446D8" w:rsidRDefault="00BB1E03" w:rsidP="00D111EF">
            <w:pPr>
              <w:jc w:val="center"/>
              <w:rPr>
                <w:rFonts w:ascii="Times New Roman" w:hAnsi="Times New Roman" w:cs="Times New Roman"/>
                <w:sz w:val="24"/>
                <w:szCs w:val="24"/>
              </w:rPr>
            </w:pPr>
            <w:r w:rsidRPr="007446D8">
              <w:rPr>
                <w:rFonts w:ascii="Times New Roman" w:hAnsi="Times New Roman" w:cs="Times New Roman"/>
                <w:sz w:val="24"/>
                <w:szCs w:val="24"/>
              </w:rPr>
              <w:t>0.59</w:t>
            </w:r>
          </w:p>
        </w:tc>
        <w:tc>
          <w:tcPr>
            <w:tcW w:w="1275"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0.153</w:t>
            </w:r>
          </w:p>
        </w:tc>
        <w:tc>
          <w:tcPr>
            <w:tcW w:w="1307"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.0718</w:t>
            </w:r>
            <w:r>
              <w:rPr>
                <w:rFonts w:ascii="Times New Roman" w:hAnsi="Times New Roman" w:cs="Times New Roman"/>
                <w:sz w:val="24"/>
                <w:szCs w:val="24"/>
              </w:rPr>
              <w:t>2</w:t>
            </w:r>
          </w:p>
        </w:tc>
        <w:tc>
          <w:tcPr>
            <w:tcW w:w="1306" w:type="dxa"/>
            <w:vAlign w:val="center"/>
          </w:tcPr>
          <w:p w:rsidR="00BB1E03" w:rsidRPr="007446D8" w:rsidRDefault="00BB1E03" w:rsidP="00D111EF">
            <w:pPr>
              <w:jc w:val="center"/>
              <w:rPr>
                <w:rFonts w:ascii="Times New Roman" w:hAnsi="Times New Roman" w:cs="Times New Roman"/>
                <w:sz w:val="24"/>
                <w:szCs w:val="24"/>
              </w:rPr>
            </w:pPr>
            <w:r>
              <w:rPr>
                <w:rFonts w:ascii="Times New Roman" w:hAnsi="Times New Roman" w:cs="Times New Roman"/>
                <w:sz w:val="24"/>
                <w:szCs w:val="24"/>
              </w:rPr>
              <w:t>0</w:t>
            </w:r>
            <w:r w:rsidRPr="007446D8">
              <w:rPr>
                <w:rFonts w:ascii="Times New Roman" w:hAnsi="Times New Roman" w:cs="Times New Roman"/>
                <w:sz w:val="24"/>
                <w:szCs w:val="24"/>
              </w:rPr>
              <w:t>.1316</w:t>
            </w:r>
            <w:r>
              <w:rPr>
                <w:rFonts w:ascii="Times New Roman" w:hAnsi="Times New Roman" w:cs="Times New Roman"/>
                <w:sz w:val="24"/>
                <w:szCs w:val="24"/>
              </w:rPr>
              <w:t>2</w:t>
            </w:r>
          </w:p>
        </w:tc>
      </w:tr>
    </w:tbl>
    <w:p w:rsidR="00FE0A9A" w:rsidRDefault="00FE0A9A" w:rsidP="00093700">
      <w:pPr>
        <w:jc w:val="both"/>
      </w:pPr>
    </w:p>
    <w:sectPr w:rsidR="00FE0A9A" w:rsidSect="00936113">
      <w:footerReference w:type="default" r:id="rId8"/>
      <w:pgSz w:w="12240" w:h="15840"/>
      <w:pgMar w:top="1440" w:right="1440" w:bottom="1440" w:left="1800"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798" w:rsidRDefault="00427798" w:rsidP="00E6162D">
      <w:pPr>
        <w:spacing w:after="0" w:line="240" w:lineRule="auto"/>
      </w:pPr>
      <w:r>
        <w:separator/>
      </w:r>
    </w:p>
  </w:endnote>
  <w:endnote w:type="continuationSeparator" w:id="1">
    <w:p w:rsidR="00427798" w:rsidRDefault="00427798" w:rsidP="00E61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3419"/>
      <w:docPartObj>
        <w:docPartGallery w:val="Page Numbers (Bottom of Page)"/>
        <w:docPartUnique/>
      </w:docPartObj>
    </w:sdtPr>
    <w:sdtContent>
      <w:p w:rsidR="00936113" w:rsidRDefault="00936113">
        <w:pPr>
          <w:pStyle w:val="Footer"/>
          <w:jc w:val="center"/>
        </w:pPr>
        <w:fldSimple w:instr=" PAGE   \* MERGEFORMAT ">
          <w:r>
            <w:rPr>
              <w:noProof/>
            </w:rPr>
            <w:t>24</w:t>
          </w:r>
        </w:fldSimple>
      </w:p>
    </w:sdtContent>
  </w:sdt>
  <w:p w:rsidR="00033603" w:rsidRDefault="00427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798" w:rsidRDefault="00427798" w:rsidP="00E6162D">
      <w:pPr>
        <w:spacing w:after="0" w:line="240" w:lineRule="auto"/>
      </w:pPr>
      <w:r>
        <w:separator/>
      </w:r>
    </w:p>
  </w:footnote>
  <w:footnote w:type="continuationSeparator" w:id="1">
    <w:p w:rsidR="00427798" w:rsidRDefault="00427798" w:rsidP="00E616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useFELayout/>
  </w:compat>
  <w:rsids>
    <w:rsidRoot w:val="00E6162D"/>
    <w:rsid w:val="00010F72"/>
    <w:rsid w:val="000174AA"/>
    <w:rsid w:val="00023118"/>
    <w:rsid w:val="00060623"/>
    <w:rsid w:val="00093700"/>
    <w:rsid w:val="000D57C5"/>
    <w:rsid w:val="000D5BD7"/>
    <w:rsid w:val="00192769"/>
    <w:rsid w:val="001D2F18"/>
    <w:rsid w:val="00234EDA"/>
    <w:rsid w:val="00240530"/>
    <w:rsid w:val="00242F2B"/>
    <w:rsid w:val="002B6A4C"/>
    <w:rsid w:val="002C3260"/>
    <w:rsid w:val="00346012"/>
    <w:rsid w:val="00354C3E"/>
    <w:rsid w:val="00380A4C"/>
    <w:rsid w:val="003976AD"/>
    <w:rsid w:val="003B4C8F"/>
    <w:rsid w:val="00424484"/>
    <w:rsid w:val="00427798"/>
    <w:rsid w:val="004B2C1E"/>
    <w:rsid w:val="004E416E"/>
    <w:rsid w:val="004E7A0F"/>
    <w:rsid w:val="00511D61"/>
    <w:rsid w:val="00541342"/>
    <w:rsid w:val="00567CA8"/>
    <w:rsid w:val="00651FF1"/>
    <w:rsid w:val="00652348"/>
    <w:rsid w:val="00666F6F"/>
    <w:rsid w:val="00682F21"/>
    <w:rsid w:val="006A4F9E"/>
    <w:rsid w:val="0073199A"/>
    <w:rsid w:val="007445F7"/>
    <w:rsid w:val="00753944"/>
    <w:rsid w:val="007F52FF"/>
    <w:rsid w:val="00812CC9"/>
    <w:rsid w:val="0084766A"/>
    <w:rsid w:val="00883D46"/>
    <w:rsid w:val="008863EE"/>
    <w:rsid w:val="0093540C"/>
    <w:rsid w:val="00936113"/>
    <w:rsid w:val="00A17A00"/>
    <w:rsid w:val="00A24F56"/>
    <w:rsid w:val="00A72AED"/>
    <w:rsid w:val="00AC5041"/>
    <w:rsid w:val="00B57BFC"/>
    <w:rsid w:val="00B76817"/>
    <w:rsid w:val="00BB1E03"/>
    <w:rsid w:val="00BB2B98"/>
    <w:rsid w:val="00BD60EF"/>
    <w:rsid w:val="00BF6F80"/>
    <w:rsid w:val="00C0162F"/>
    <w:rsid w:val="00C34AB6"/>
    <w:rsid w:val="00CD1CD2"/>
    <w:rsid w:val="00D403A1"/>
    <w:rsid w:val="00D71B03"/>
    <w:rsid w:val="00DC03A9"/>
    <w:rsid w:val="00DF3B9E"/>
    <w:rsid w:val="00E6162D"/>
    <w:rsid w:val="00EA73A3"/>
    <w:rsid w:val="00F6303A"/>
    <w:rsid w:val="00FC72B5"/>
    <w:rsid w:val="00FE0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62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6162D"/>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E6162D"/>
    <w:rPr>
      <w:rFonts w:eastAsiaTheme="minorHAnsi"/>
    </w:rPr>
  </w:style>
  <w:style w:type="paragraph" w:styleId="Footer">
    <w:name w:val="footer"/>
    <w:basedOn w:val="Normal"/>
    <w:link w:val="FooterChar"/>
    <w:uiPriority w:val="99"/>
    <w:unhideWhenUsed/>
    <w:rsid w:val="00E6162D"/>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6162D"/>
    <w:rPr>
      <w:rFonts w:eastAsiaTheme="minorHAnsi"/>
    </w:rPr>
  </w:style>
  <w:style w:type="paragraph" w:styleId="BalloonText">
    <w:name w:val="Balloon Text"/>
    <w:basedOn w:val="Normal"/>
    <w:link w:val="BalloonTextChar"/>
    <w:uiPriority w:val="99"/>
    <w:semiHidden/>
    <w:unhideWhenUsed/>
    <w:rsid w:val="00E61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plotArea>
      <c:layout/>
      <c:barChart>
        <c:barDir val="col"/>
        <c:grouping val="clustered"/>
        <c:ser>
          <c:idx val="0"/>
          <c:order val="0"/>
          <c:cat>
            <c:strRef>
              <c:f>Sheet1!$B$9:$D$9</c:f>
              <c:strCache>
                <c:ptCount val="3"/>
                <c:pt idx="0">
                  <c:v>MRT</c:v>
                </c:pt>
                <c:pt idx="1">
                  <c:v>iELISA</c:v>
                </c:pt>
                <c:pt idx="2">
                  <c:v>RBPT</c:v>
                </c:pt>
              </c:strCache>
            </c:strRef>
          </c:cat>
          <c:val>
            <c:numRef>
              <c:f>Sheet1!$B$10:$D$10</c:f>
              <c:numCache>
                <c:formatCode>General</c:formatCode>
                <c:ptCount val="3"/>
                <c:pt idx="0">
                  <c:v>50</c:v>
                </c:pt>
                <c:pt idx="1">
                  <c:v>40</c:v>
                </c:pt>
                <c:pt idx="2">
                  <c:v>21</c:v>
                </c:pt>
              </c:numCache>
            </c:numRef>
          </c:val>
        </c:ser>
        <c:gapWidth val="300"/>
        <c:axId val="35032448"/>
        <c:axId val="35322496"/>
      </c:barChart>
      <c:catAx>
        <c:axId val="35032448"/>
        <c:scaling>
          <c:orientation val="minMax"/>
        </c:scaling>
        <c:axPos val="b"/>
        <c:title>
          <c:tx>
            <c:rich>
              <a:bodyPr/>
              <a:lstStyle/>
              <a:p>
                <a:pPr>
                  <a:defRPr b="0"/>
                </a:pPr>
                <a:r>
                  <a:rPr lang="en-US" b="0"/>
                  <a:t>Immunological</a:t>
                </a:r>
                <a:r>
                  <a:rPr lang="en-US" b="0" baseline="0"/>
                  <a:t> tests</a:t>
                </a:r>
                <a:endParaRPr lang="en-US" b="0"/>
              </a:p>
            </c:rich>
          </c:tx>
        </c:title>
        <c:majorTickMark val="none"/>
        <c:tickLblPos val="nextTo"/>
        <c:crossAx val="35322496"/>
        <c:crosses val="autoZero"/>
        <c:auto val="1"/>
        <c:lblAlgn val="ctr"/>
        <c:lblOffset val="100"/>
      </c:catAx>
      <c:valAx>
        <c:axId val="35322496"/>
        <c:scaling>
          <c:orientation val="minMax"/>
        </c:scaling>
        <c:axPos val="l"/>
        <c:majorGridlines/>
        <c:minorGridlines/>
        <c:title>
          <c:tx>
            <c:rich>
              <a:bodyPr/>
              <a:lstStyle/>
              <a:p>
                <a:pPr>
                  <a:defRPr b="0"/>
                </a:pPr>
                <a:r>
                  <a:rPr lang="en-US" b="0"/>
                  <a:t>No.</a:t>
                </a:r>
                <a:r>
                  <a:rPr lang="en-US" b="0" baseline="0"/>
                  <a:t> of Brucella antibody +ve cows</a:t>
                </a:r>
                <a:endParaRPr lang="en-US" b="0"/>
              </a:p>
            </c:rich>
          </c:tx>
        </c:title>
        <c:numFmt formatCode="General" sourceLinked="1"/>
        <c:tickLblPos val="nextTo"/>
        <c:crossAx val="35032448"/>
        <c:crosses val="autoZero"/>
        <c:crossBetween val="between"/>
      </c:valAx>
      <c:spPr>
        <a:solidFill>
          <a:srgbClr val="FFFFFF"/>
        </a:solidFill>
      </c:spPr>
    </c:plotArea>
    <c:plotVisOnly val="1"/>
  </c:chart>
  <c:spPr>
    <a:solidFill>
      <a:srgbClr val="CCFFFF"/>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a:pPr>
            <a:r>
              <a:rPr lang="en-US" sz="1200" b="0"/>
              <a:t>Graphical</a:t>
            </a:r>
            <a:r>
              <a:rPr lang="en-US" sz="1200" b="0" baseline="0"/>
              <a:t> representation of hematological parameters</a:t>
            </a:r>
            <a:endParaRPr lang="en-US" sz="1200" b="0"/>
          </a:p>
        </c:rich>
      </c:tx>
    </c:title>
    <c:plotArea>
      <c:layout/>
      <c:barChart>
        <c:barDir val="col"/>
        <c:grouping val="clustered"/>
        <c:ser>
          <c:idx val="0"/>
          <c:order val="0"/>
          <c:tx>
            <c:strRef>
              <c:f>Sheet1!$F$8</c:f>
              <c:strCache>
                <c:ptCount val="1"/>
                <c:pt idx="0">
                  <c:v>Brucella +ve</c:v>
                </c:pt>
              </c:strCache>
            </c:strRef>
          </c:tx>
          <c:cat>
            <c:strRef>
              <c:f>Sheet1!$G$7:$Q$7</c:f>
              <c:strCache>
                <c:ptCount val="11"/>
                <c:pt idx="0">
                  <c:v>Hb (gm/dl)</c:v>
                </c:pt>
                <c:pt idx="1">
                  <c:v>PCV (%)</c:v>
                </c:pt>
                <c:pt idx="2">
                  <c:v>TEC (x106 cells/μl)</c:v>
                </c:pt>
                <c:pt idx="3">
                  <c:v>Lymphocyte (%)</c:v>
                </c:pt>
                <c:pt idx="4">
                  <c:v>Monocyte (%)</c:v>
                </c:pt>
                <c:pt idx="5">
                  <c:v>Neutrophils (%)</c:v>
                </c:pt>
                <c:pt idx="6">
                  <c:v>Eosinophil (%)</c:v>
                </c:pt>
                <c:pt idx="7">
                  <c:v>Basophil (%)</c:v>
                </c:pt>
                <c:pt idx="8">
                  <c:v>MCV (fl)</c:v>
                </c:pt>
                <c:pt idx="9">
                  <c:v>MCH (pg)</c:v>
                </c:pt>
                <c:pt idx="10">
                  <c:v>MCHC (%)</c:v>
                </c:pt>
              </c:strCache>
            </c:strRef>
          </c:cat>
          <c:val>
            <c:numRef>
              <c:f>Sheet1!$G$8:$Q$8</c:f>
              <c:numCache>
                <c:formatCode>General</c:formatCode>
                <c:ptCount val="11"/>
                <c:pt idx="0">
                  <c:v>7.4619999999999997</c:v>
                </c:pt>
                <c:pt idx="1">
                  <c:v>29.713999999999999</c:v>
                </c:pt>
                <c:pt idx="2">
                  <c:v>4.8669999999999973</c:v>
                </c:pt>
                <c:pt idx="3">
                  <c:v>64.332999999999998</c:v>
                </c:pt>
                <c:pt idx="4">
                  <c:v>5.2859999999999996</c:v>
                </c:pt>
                <c:pt idx="5">
                  <c:v>22.332999999999988</c:v>
                </c:pt>
                <c:pt idx="6">
                  <c:v>7.5720000000000001</c:v>
                </c:pt>
                <c:pt idx="7">
                  <c:v>0.23800000000000004</c:v>
                </c:pt>
                <c:pt idx="8">
                  <c:v>66.072999999999979</c:v>
                </c:pt>
                <c:pt idx="9">
                  <c:v>16.774999999999999</c:v>
                </c:pt>
                <c:pt idx="10">
                  <c:v>25.987999999999989</c:v>
                </c:pt>
              </c:numCache>
            </c:numRef>
          </c:val>
        </c:ser>
        <c:ser>
          <c:idx val="1"/>
          <c:order val="1"/>
          <c:tx>
            <c:strRef>
              <c:f>Sheet1!$F$9</c:f>
              <c:strCache>
                <c:ptCount val="1"/>
                <c:pt idx="0">
                  <c:v>Brucella -ve</c:v>
                </c:pt>
              </c:strCache>
            </c:strRef>
          </c:tx>
          <c:cat>
            <c:strRef>
              <c:f>Sheet1!$G$7:$Q$7</c:f>
              <c:strCache>
                <c:ptCount val="11"/>
                <c:pt idx="0">
                  <c:v>Hb (gm/dl)</c:v>
                </c:pt>
                <c:pt idx="1">
                  <c:v>PCV (%)</c:v>
                </c:pt>
                <c:pt idx="2">
                  <c:v>TEC (x106 cells/μl)</c:v>
                </c:pt>
                <c:pt idx="3">
                  <c:v>Lymphocyte (%)</c:v>
                </c:pt>
                <c:pt idx="4">
                  <c:v>Monocyte (%)</c:v>
                </c:pt>
                <c:pt idx="5">
                  <c:v>Neutrophils (%)</c:v>
                </c:pt>
                <c:pt idx="6">
                  <c:v>Eosinophil (%)</c:v>
                </c:pt>
                <c:pt idx="7">
                  <c:v>Basophil (%)</c:v>
                </c:pt>
                <c:pt idx="8">
                  <c:v>MCV (fl)</c:v>
                </c:pt>
                <c:pt idx="9">
                  <c:v>MCH (pg)</c:v>
                </c:pt>
                <c:pt idx="10">
                  <c:v>MCHC (%)</c:v>
                </c:pt>
              </c:strCache>
            </c:strRef>
          </c:cat>
          <c:val>
            <c:numRef>
              <c:f>Sheet1!$G$9:$Q$9</c:f>
              <c:numCache>
                <c:formatCode>General</c:formatCode>
                <c:ptCount val="11"/>
                <c:pt idx="0">
                  <c:v>7.2380000000000004</c:v>
                </c:pt>
                <c:pt idx="1">
                  <c:v>29.207000000000001</c:v>
                </c:pt>
                <c:pt idx="2">
                  <c:v>5.0810000000000004</c:v>
                </c:pt>
                <c:pt idx="3">
                  <c:v>64.930999999999997</c:v>
                </c:pt>
                <c:pt idx="4">
                  <c:v>4.2759999999999998</c:v>
                </c:pt>
                <c:pt idx="5">
                  <c:v>23.585999999999984</c:v>
                </c:pt>
                <c:pt idx="6">
                  <c:v>5.9660000000000002</c:v>
                </c:pt>
                <c:pt idx="7">
                  <c:v>0.37900000000000017</c:v>
                </c:pt>
                <c:pt idx="8">
                  <c:v>61.184000000000005</c:v>
                </c:pt>
                <c:pt idx="9">
                  <c:v>15.942</c:v>
                </c:pt>
                <c:pt idx="10">
                  <c:v>25.58499999999999</c:v>
                </c:pt>
              </c:numCache>
            </c:numRef>
          </c:val>
        </c:ser>
        <c:axId val="69354240"/>
        <c:axId val="84668800"/>
      </c:barChart>
      <c:catAx>
        <c:axId val="69354240"/>
        <c:scaling>
          <c:orientation val="minMax"/>
        </c:scaling>
        <c:axPos val="b"/>
        <c:title>
          <c:tx>
            <c:rich>
              <a:bodyPr/>
              <a:lstStyle/>
              <a:p>
                <a:pPr>
                  <a:defRPr/>
                </a:pPr>
                <a:r>
                  <a:rPr lang="en-US" b="0"/>
                  <a:t>Hematological</a:t>
                </a:r>
                <a:r>
                  <a:rPr lang="en-US" b="0" baseline="0"/>
                  <a:t> parameters</a:t>
                </a:r>
                <a:endParaRPr lang="en-US" b="0"/>
              </a:p>
            </c:rich>
          </c:tx>
        </c:title>
        <c:majorTickMark val="none"/>
        <c:tickLblPos val="nextTo"/>
        <c:crossAx val="84668800"/>
        <c:crosses val="autoZero"/>
        <c:auto val="1"/>
        <c:lblAlgn val="ctr"/>
        <c:lblOffset val="100"/>
      </c:catAx>
      <c:valAx>
        <c:axId val="84668800"/>
        <c:scaling>
          <c:orientation val="minMax"/>
        </c:scaling>
        <c:axPos val="l"/>
        <c:majorGridlines/>
        <c:title>
          <c:tx>
            <c:rich>
              <a:bodyPr/>
              <a:lstStyle/>
              <a:p>
                <a:pPr>
                  <a:defRPr b="0"/>
                </a:pPr>
                <a:r>
                  <a:rPr lang="en-US" b="0"/>
                  <a:t>Values</a:t>
                </a:r>
                <a:r>
                  <a:rPr lang="en-US" b="0" baseline="0"/>
                  <a:t> of blood parameters</a:t>
                </a:r>
                <a:endParaRPr lang="en-US" b="0"/>
              </a:p>
            </c:rich>
          </c:tx>
        </c:title>
        <c:numFmt formatCode="General" sourceLinked="1"/>
        <c:tickLblPos val="nextTo"/>
        <c:crossAx val="69354240"/>
        <c:crosses val="autoZero"/>
        <c:crossBetween val="between"/>
      </c:valAx>
      <c:spPr>
        <a:solidFill>
          <a:srgbClr val="CCFFFF"/>
        </a:solidFill>
      </c:spPr>
    </c:plotArea>
    <c:legend>
      <c:legendPos val="r"/>
    </c:legend>
    <c:plotVisOnly val="1"/>
  </c:chart>
  <c:spPr>
    <a:no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2012-04-07T10:28:00Z</dcterms:created>
  <dcterms:modified xsi:type="dcterms:W3CDTF">2012-05-11T17:41:00Z</dcterms:modified>
</cp:coreProperties>
</file>